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18B" w:rsidRPr="0022070D" w:rsidRDefault="00686DA4">
      <w:pPr>
        <w:widowControl w:val="0"/>
        <w:spacing w:after="0" w:line="240" w:lineRule="auto"/>
        <w:jc w:val="center"/>
        <w:rPr>
          <w:rFonts w:ascii="Times" w:eastAsia="Times" w:hAnsi="Times" w:cs="Times"/>
          <w:sz w:val="28"/>
          <w:szCs w:val="28"/>
        </w:rPr>
      </w:pPr>
      <w:r w:rsidRPr="0022070D">
        <w:rPr>
          <w:rFonts w:ascii="Times" w:eastAsia="Times" w:hAnsi="Times" w:cs="Times"/>
          <w:b/>
          <w:sz w:val="28"/>
          <w:szCs w:val="28"/>
        </w:rPr>
        <w:t>Титульний аркуш</w:t>
      </w:r>
    </w:p>
    <w:p w:rsidR="00BC418B" w:rsidRPr="0022070D" w:rsidRDefault="00BC418B">
      <w:pPr>
        <w:widowControl w:val="0"/>
        <w:spacing w:after="0" w:line="240" w:lineRule="auto"/>
        <w:jc w:val="center"/>
        <w:rPr>
          <w:rFonts w:ascii="Times" w:eastAsia="Times" w:hAnsi="Times" w:cs="Times"/>
          <w:sz w:val="28"/>
          <w:szCs w:val="28"/>
        </w:rPr>
      </w:pPr>
    </w:p>
    <w:tbl>
      <w:tblPr>
        <w:tblStyle w:val="a5"/>
        <w:tblW w:w="55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5500"/>
      </w:tblGrid>
      <w:tr w:rsidR="00BC418B" w:rsidRPr="0022070D">
        <w:trPr>
          <w:trHeight w:val="300"/>
        </w:trPr>
        <w:tc>
          <w:tcPr>
            <w:tcW w:w="5500" w:type="dxa"/>
            <w:tcBorders>
              <w:top w:val="nil"/>
              <w:left w:val="nil"/>
              <w:bottom w:val="single" w:sz="6" w:space="0" w:color="000000"/>
              <w:right w:val="nil"/>
            </w:tcBorders>
            <w:tcMar>
              <w:top w:w="0" w:type="dxa"/>
              <w:bottom w:w="0" w:type="dxa"/>
            </w:tcMar>
            <w:vAlign w:val="bottom"/>
          </w:tcPr>
          <w:p w:rsidR="00BC418B" w:rsidRPr="0022070D" w:rsidRDefault="0022070D">
            <w:pPr>
              <w:widowControl w:val="0"/>
              <w:spacing w:after="0" w:line="240" w:lineRule="auto"/>
              <w:rPr>
                <w:rFonts w:ascii="Times" w:eastAsia="Times" w:hAnsi="Times" w:cs="Times"/>
                <w:sz w:val="24"/>
                <w:szCs w:val="24"/>
                <w:lang w:val="en-US"/>
              </w:rPr>
            </w:pPr>
            <w:r>
              <w:rPr>
                <w:rFonts w:ascii="Times" w:eastAsia="Times" w:hAnsi="Times" w:cs="Times"/>
                <w:sz w:val="24"/>
                <w:szCs w:val="24"/>
                <w:lang w:val="uk-UA"/>
              </w:rPr>
              <w:t>30.04.2021</w:t>
            </w:r>
          </w:p>
        </w:tc>
      </w:tr>
      <w:tr w:rsidR="00BC418B" w:rsidRPr="0022070D">
        <w:trPr>
          <w:trHeight w:val="300"/>
        </w:trPr>
        <w:tc>
          <w:tcPr>
            <w:tcW w:w="55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0"/>
                <w:szCs w:val="20"/>
              </w:rPr>
            </w:pPr>
            <w:r w:rsidRPr="0022070D">
              <w:rPr>
                <w:rFonts w:ascii="Times" w:eastAsia="Times" w:hAnsi="Times" w:cs="Times"/>
                <w:sz w:val="20"/>
                <w:szCs w:val="20"/>
              </w:rPr>
              <w:t>(дата реєстрації емітентом електронного документа)</w:t>
            </w:r>
          </w:p>
        </w:tc>
      </w:tr>
      <w:tr w:rsidR="00BC418B" w:rsidRPr="0022070D">
        <w:trPr>
          <w:trHeight w:val="300"/>
        </w:trPr>
        <w:tc>
          <w:tcPr>
            <w:tcW w:w="5500" w:type="dxa"/>
            <w:tcBorders>
              <w:top w:val="nil"/>
              <w:left w:val="nil"/>
              <w:bottom w:val="single" w:sz="6" w:space="0" w:color="000000"/>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lang w:val="en-US"/>
              </w:rPr>
            </w:pPr>
            <w:r w:rsidRPr="0022070D">
              <w:rPr>
                <w:rFonts w:ascii="Times" w:eastAsia="Times" w:hAnsi="Times" w:cs="Times"/>
                <w:sz w:val="24"/>
                <w:szCs w:val="24"/>
              </w:rPr>
              <w:t xml:space="preserve">№ </w:t>
            </w:r>
            <w:r w:rsidR="0022070D">
              <w:rPr>
                <w:rFonts w:ascii="Times" w:eastAsia="Times" w:hAnsi="Times" w:cs="Times"/>
                <w:sz w:val="24"/>
                <w:szCs w:val="24"/>
                <w:lang w:val="en-US"/>
              </w:rPr>
              <w:t>15</w:t>
            </w:r>
            <w:bookmarkStart w:id="0" w:name="_GoBack"/>
            <w:bookmarkEnd w:id="0"/>
          </w:p>
        </w:tc>
      </w:tr>
      <w:tr w:rsidR="00BC418B" w:rsidRPr="0022070D">
        <w:trPr>
          <w:trHeight w:val="300"/>
        </w:trPr>
        <w:tc>
          <w:tcPr>
            <w:tcW w:w="55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0"/>
                <w:szCs w:val="20"/>
              </w:rPr>
            </w:pPr>
            <w:r w:rsidRPr="0022070D">
              <w:rPr>
                <w:rFonts w:ascii="Times" w:eastAsia="Times" w:hAnsi="Times" w:cs="Times"/>
                <w:sz w:val="20"/>
                <w:szCs w:val="20"/>
              </w:rPr>
              <w:t>(вихідний реєстраційний номер електронного документа)</w:t>
            </w:r>
          </w:p>
        </w:tc>
      </w:tr>
    </w:tbl>
    <w:p w:rsidR="00BC418B" w:rsidRPr="0022070D" w:rsidRDefault="00BC418B">
      <w:pPr>
        <w:widowControl w:val="0"/>
        <w:spacing w:after="0" w:line="240" w:lineRule="auto"/>
        <w:rPr>
          <w:rFonts w:ascii="Times" w:eastAsia="Times" w:hAnsi="Times" w:cs="Times"/>
          <w:sz w:val="20"/>
          <w:szCs w:val="20"/>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0"/>
          <w:szCs w:val="20"/>
        </w:rPr>
        <w:tab/>
      </w:r>
      <w:r w:rsidRPr="0022070D">
        <w:rPr>
          <w:rFonts w:ascii="Times" w:eastAsia="Times" w:hAnsi="Times" w:cs="Times"/>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BC418B" w:rsidRPr="0022070D" w:rsidRDefault="00BC418B">
      <w:pPr>
        <w:widowControl w:val="0"/>
        <w:spacing w:after="0" w:line="240" w:lineRule="auto"/>
        <w:jc w:val="both"/>
        <w:rPr>
          <w:rFonts w:ascii="Times" w:eastAsia="Times" w:hAnsi="Times" w:cs="Times"/>
          <w:sz w:val="24"/>
          <w:szCs w:val="24"/>
        </w:rPr>
      </w:pPr>
    </w:p>
    <w:tbl>
      <w:tblPr>
        <w:tblStyle w:val="a6"/>
        <w:tblW w:w="1012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629"/>
        <w:gridCol w:w="250"/>
        <w:gridCol w:w="1351"/>
        <w:gridCol w:w="250"/>
        <w:gridCol w:w="4640"/>
      </w:tblGrid>
      <w:tr w:rsidR="00BC418B" w:rsidRPr="0022070D">
        <w:trPr>
          <w:trHeight w:val="200"/>
        </w:trPr>
        <w:tc>
          <w:tcPr>
            <w:tcW w:w="3640" w:type="dxa"/>
            <w:tcBorders>
              <w:top w:val="nil"/>
              <w:left w:val="nil"/>
              <w:bottom w:val="single" w:sz="6" w:space="0" w:color="000000"/>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Голова правлiння</w:t>
            </w:r>
          </w:p>
        </w:tc>
        <w:tc>
          <w:tcPr>
            <w:tcW w:w="236" w:type="dxa"/>
            <w:tcBorders>
              <w:top w:val="nil"/>
              <w:left w:val="nil"/>
              <w:bottom w:val="nil"/>
              <w:right w:val="nil"/>
            </w:tcBorders>
            <w:tcMar>
              <w:top w:w="0" w:type="dxa"/>
              <w:bottom w:w="0" w:type="dxa"/>
            </w:tcMar>
          </w:tcPr>
          <w:p w:rsidR="00BC418B" w:rsidRPr="0022070D" w:rsidRDefault="00BC418B">
            <w:pPr>
              <w:widowControl w:val="0"/>
              <w:spacing w:after="0" w:line="240" w:lineRule="auto"/>
              <w:jc w:val="center"/>
              <w:rPr>
                <w:rFonts w:ascii="Times" w:eastAsia="Times" w:hAnsi="Times" w:cs="Times"/>
                <w:sz w:val="24"/>
                <w:szCs w:val="24"/>
              </w:rPr>
            </w:pPr>
          </w:p>
        </w:tc>
        <w:tc>
          <w:tcPr>
            <w:tcW w:w="1354" w:type="dxa"/>
            <w:tcBorders>
              <w:top w:val="nil"/>
              <w:left w:val="nil"/>
              <w:bottom w:val="single" w:sz="6" w:space="0" w:color="000000"/>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c>
          <w:tcPr>
            <w:tcW w:w="236" w:type="dxa"/>
            <w:tcBorders>
              <w:top w:val="nil"/>
              <w:left w:val="nil"/>
              <w:bottom w:val="nil"/>
              <w:right w:val="nil"/>
            </w:tcBorders>
            <w:tcMar>
              <w:top w:w="0" w:type="dxa"/>
              <w:bottom w:w="0" w:type="dxa"/>
            </w:tcMar>
          </w:tcPr>
          <w:p w:rsidR="00BC418B" w:rsidRPr="0022070D" w:rsidRDefault="00BC418B">
            <w:pPr>
              <w:widowControl w:val="0"/>
              <w:spacing w:after="0" w:line="240" w:lineRule="auto"/>
              <w:jc w:val="center"/>
              <w:rPr>
                <w:rFonts w:ascii="Times" w:eastAsia="Times" w:hAnsi="Times" w:cs="Times"/>
                <w:sz w:val="24"/>
                <w:szCs w:val="24"/>
              </w:rPr>
            </w:pPr>
          </w:p>
        </w:tc>
        <w:tc>
          <w:tcPr>
            <w:tcW w:w="4654" w:type="dxa"/>
            <w:tcBorders>
              <w:top w:val="nil"/>
              <w:left w:val="nil"/>
              <w:bottom w:val="single" w:sz="6" w:space="0" w:color="000000"/>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Гринчик Iнна Яношiвна</w:t>
            </w:r>
          </w:p>
        </w:tc>
      </w:tr>
      <w:tr w:rsidR="00BC418B" w:rsidRPr="0022070D">
        <w:trPr>
          <w:trHeight w:val="200"/>
        </w:trPr>
        <w:tc>
          <w:tcPr>
            <w:tcW w:w="3640" w:type="dxa"/>
            <w:tcBorders>
              <w:top w:val="nil"/>
              <w:left w:val="nil"/>
              <w:bottom w:val="nil"/>
              <w:right w:val="nil"/>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(посада)</w:t>
            </w:r>
          </w:p>
        </w:tc>
        <w:tc>
          <w:tcPr>
            <w:tcW w:w="236" w:type="dxa"/>
            <w:tcBorders>
              <w:top w:val="nil"/>
              <w:left w:val="nil"/>
              <w:bottom w:val="nil"/>
              <w:right w:val="nil"/>
            </w:tcBorders>
            <w:tcMar>
              <w:top w:w="0" w:type="dxa"/>
              <w:bottom w:w="0" w:type="dxa"/>
            </w:tcMar>
          </w:tcPr>
          <w:p w:rsidR="00BC418B" w:rsidRPr="0022070D" w:rsidRDefault="00BC418B">
            <w:pPr>
              <w:widowControl w:val="0"/>
              <w:spacing w:after="0" w:line="240" w:lineRule="auto"/>
              <w:jc w:val="center"/>
              <w:rPr>
                <w:rFonts w:ascii="Times" w:eastAsia="Times" w:hAnsi="Times" w:cs="Times"/>
                <w:sz w:val="20"/>
                <w:szCs w:val="20"/>
              </w:rPr>
            </w:pPr>
          </w:p>
        </w:tc>
        <w:tc>
          <w:tcPr>
            <w:tcW w:w="1354" w:type="dxa"/>
            <w:tcBorders>
              <w:top w:val="nil"/>
              <w:left w:val="nil"/>
              <w:bottom w:val="nil"/>
              <w:right w:val="nil"/>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(підпис)</w:t>
            </w:r>
          </w:p>
        </w:tc>
        <w:tc>
          <w:tcPr>
            <w:tcW w:w="236" w:type="dxa"/>
            <w:tcBorders>
              <w:top w:val="nil"/>
              <w:left w:val="nil"/>
              <w:bottom w:val="nil"/>
              <w:right w:val="nil"/>
            </w:tcBorders>
            <w:tcMar>
              <w:top w:w="0" w:type="dxa"/>
              <w:bottom w:w="0" w:type="dxa"/>
            </w:tcMar>
          </w:tcPr>
          <w:p w:rsidR="00BC418B" w:rsidRPr="0022070D" w:rsidRDefault="00BC418B">
            <w:pPr>
              <w:widowControl w:val="0"/>
              <w:spacing w:after="0" w:line="240" w:lineRule="auto"/>
              <w:jc w:val="center"/>
              <w:rPr>
                <w:rFonts w:ascii="Times" w:eastAsia="Times" w:hAnsi="Times" w:cs="Times"/>
                <w:sz w:val="20"/>
                <w:szCs w:val="20"/>
              </w:rPr>
            </w:pPr>
          </w:p>
        </w:tc>
        <w:tc>
          <w:tcPr>
            <w:tcW w:w="4654" w:type="dxa"/>
            <w:tcBorders>
              <w:top w:val="nil"/>
              <w:left w:val="nil"/>
              <w:bottom w:val="nil"/>
              <w:right w:val="nil"/>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(прізвище та ініціали керівника або уповноваженої особи емітента)</w:t>
            </w:r>
          </w:p>
        </w:tc>
      </w:tr>
    </w:tbl>
    <w:p w:rsidR="00BC418B" w:rsidRPr="0022070D" w:rsidRDefault="00BC418B">
      <w:pPr>
        <w:widowControl w:val="0"/>
        <w:spacing w:after="0" w:line="240" w:lineRule="auto"/>
        <w:rPr>
          <w:rFonts w:ascii="Times" w:eastAsia="Times" w:hAnsi="Times" w:cs="Times"/>
          <w:sz w:val="20"/>
          <w:szCs w:val="20"/>
        </w:rPr>
      </w:pPr>
    </w:p>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Річна інформація емітента цінних паперів за 2020 рік</w:t>
      </w:r>
    </w:p>
    <w:p w:rsidR="00BC418B" w:rsidRPr="0022070D" w:rsidRDefault="00BC418B">
      <w:pPr>
        <w:widowControl w:val="0"/>
        <w:spacing w:after="0" w:line="240" w:lineRule="auto"/>
        <w:jc w:val="center"/>
        <w:rPr>
          <w:rFonts w:ascii="Times" w:eastAsia="Times" w:hAnsi="Times" w:cs="Times"/>
          <w:b/>
          <w:sz w:val="24"/>
          <w:szCs w:val="24"/>
        </w:rPr>
      </w:pPr>
    </w:p>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I. Загальні відомості</w:t>
      </w:r>
    </w:p>
    <w:p w:rsidR="00BC418B" w:rsidRPr="0022070D" w:rsidRDefault="00BC418B">
      <w:pPr>
        <w:widowControl w:val="0"/>
        <w:spacing w:after="0" w:line="240" w:lineRule="auto"/>
        <w:jc w:val="center"/>
        <w:rPr>
          <w:rFonts w:ascii="Times" w:eastAsia="Times" w:hAnsi="Times" w:cs="Times"/>
          <w:b/>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Повне найменування емітента: Приватне акцiонерне товариство "Ладижинський завод ЗБК"</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Організаційно-правова форма: Акціонерне товариство</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Ідентифікаційний код юридичної особи: 00131966</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Місцезнаходження: 24321, Україна, Вінницька обл., мiсто Ладижин, вул. Наконечного, 184</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Міжміський код, телефон та факс: 04343 6-11-03, 04343 6-41-64</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6. Адреса електронної пошти: opora008@ukr.net</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 Рішення загальних зборів акціонерів від 28.04.2021, №1</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імені учасника фондового ринку (у разі здійснення оприлюднення): </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II. Дані про дату та місце оприлюднення річної інформації</w:t>
      </w:r>
    </w:p>
    <w:p w:rsidR="00BC418B" w:rsidRPr="0022070D" w:rsidRDefault="00BC418B">
      <w:pPr>
        <w:widowControl w:val="0"/>
        <w:spacing w:after="0" w:line="240" w:lineRule="auto"/>
        <w:jc w:val="center"/>
        <w:rPr>
          <w:rFonts w:ascii="Times" w:eastAsia="Times" w:hAnsi="Times" w:cs="Times"/>
          <w:b/>
          <w:sz w:val="24"/>
          <w:szCs w:val="24"/>
        </w:rPr>
      </w:pPr>
    </w:p>
    <w:tbl>
      <w:tblPr>
        <w:tblStyle w:val="a7"/>
        <w:tblW w:w="1008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4450"/>
        <w:gridCol w:w="4130"/>
        <w:gridCol w:w="1500"/>
      </w:tblGrid>
      <w:tr w:rsidR="00BC418B" w:rsidRPr="0022070D">
        <w:trPr>
          <w:trHeight w:val="300"/>
        </w:trPr>
        <w:tc>
          <w:tcPr>
            <w:tcW w:w="4450" w:type="dxa"/>
            <w:vMerge w:val="restart"/>
            <w:tcBorders>
              <w:top w:val="nil"/>
              <w:left w:val="nil"/>
              <w:bottom w:val="nil"/>
              <w:right w:val="nil"/>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Річну інформацію розміщено на власному веб-сайті учасника фондового ринку</w:t>
            </w:r>
          </w:p>
        </w:tc>
        <w:tc>
          <w:tcPr>
            <w:tcW w:w="4130" w:type="dxa"/>
            <w:tcBorders>
              <w:top w:val="nil"/>
              <w:left w:val="nil"/>
              <w:bottom w:val="single" w:sz="6" w:space="0" w:color="000000"/>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https://00131966.smida.gov.ua</w:t>
            </w:r>
          </w:p>
        </w:tc>
        <w:tc>
          <w:tcPr>
            <w:tcW w:w="1500" w:type="dxa"/>
            <w:tcBorders>
              <w:top w:val="nil"/>
              <w:left w:val="nil"/>
              <w:bottom w:val="single" w:sz="6" w:space="0" w:color="000000"/>
              <w:right w:val="nil"/>
            </w:tcBorders>
            <w:tcMar>
              <w:top w:w="0" w:type="dxa"/>
              <w:bottom w:w="0" w:type="dxa"/>
            </w:tcMar>
            <w:vAlign w:val="bottom"/>
          </w:tcPr>
          <w:p w:rsidR="00BC418B" w:rsidRPr="0022070D" w:rsidRDefault="0022070D">
            <w:pPr>
              <w:widowControl w:val="0"/>
              <w:spacing w:after="0" w:line="240" w:lineRule="auto"/>
              <w:jc w:val="center"/>
              <w:rPr>
                <w:rFonts w:ascii="Times" w:eastAsia="Times" w:hAnsi="Times" w:cs="Times"/>
                <w:sz w:val="24"/>
                <w:szCs w:val="24"/>
                <w:lang w:val="uk-UA"/>
              </w:rPr>
            </w:pPr>
            <w:r>
              <w:rPr>
                <w:rFonts w:ascii="Times" w:eastAsia="Times" w:hAnsi="Times" w:cs="Times"/>
                <w:sz w:val="24"/>
                <w:szCs w:val="24"/>
                <w:lang w:val="uk-UA"/>
              </w:rPr>
              <w:t>30.04.2021</w:t>
            </w:r>
          </w:p>
        </w:tc>
      </w:tr>
      <w:tr w:rsidR="00BC418B" w:rsidRPr="0022070D">
        <w:trPr>
          <w:trHeight w:val="300"/>
        </w:trPr>
        <w:tc>
          <w:tcPr>
            <w:tcW w:w="4450" w:type="dxa"/>
            <w:vMerge/>
            <w:tcBorders>
              <w:top w:val="nil"/>
              <w:left w:val="nil"/>
              <w:bottom w:val="nil"/>
              <w:right w:val="nil"/>
            </w:tcBorders>
            <w:tcMar>
              <w:top w:w="0" w:type="dxa"/>
              <w:bottom w:w="0" w:type="dxa"/>
            </w:tcMar>
          </w:tcPr>
          <w:p w:rsidR="00BC418B" w:rsidRPr="0022070D" w:rsidRDefault="00BC418B">
            <w:pPr>
              <w:widowControl w:val="0"/>
              <w:pBdr>
                <w:top w:val="nil"/>
                <w:left w:val="nil"/>
                <w:bottom w:val="nil"/>
                <w:right w:val="nil"/>
                <w:between w:val="nil"/>
              </w:pBdr>
              <w:spacing w:after="0"/>
              <w:rPr>
                <w:rFonts w:ascii="Times" w:eastAsia="Times" w:hAnsi="Times" w:cs="Times"/>
                <w:sz w:val="24"/>
                <w:szCs w:val="24"/>
              </w:rPr>
            </w:pPr>
          </w:p>
        </w:tc>
        <w:tc>
          <w:tcPr>
            <w:tcW w:w="413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(URL-адреса сторінки)</w:t>
            </w:r>
          </w:p>
        </w:tc>
        <w:tc>
          <w:tcPr>
            <w:tcW w:w="15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(дата)</w:t>
            </w:r>
          </w:p>
        </w:tc>
      </w:tr>
    </w:tbl>
    <w:p w:rsidR="00BC418B" w:rsidRPr="0022070D" w:rsidRDefault="00BC418B">
      <w:pPr>
        <w:widowControl w:val="0"/>
        <w:spacing w:after="0" w:line="240" w:lineRule="auto"/>
        <w:rPr>
          <w:rFonts w:ascii="Times" w:eastAsia="Times" w:hAnsi="Times" w:cs="Times"/>
          <w:sz w:val="20"/>
          <w:szCs w:val="20"/>
        </w:rPr>
        <w:sectPr w:rsidR="00BC418B" w:rsidRPr="0022070D">
          <w:pgSz w:w="12240" w:h="15840"/>
          <w:pgMar w:top="850" w:right="850" w:bottom="850" w:left="1400" w:header="720" w:footer="720" w:gutter="0"/>
          <w:pgNumType w:start="1"/>
          <w:cols w:space="720"/>
        </w:sectPr>
      </w:pPr>
    </w:p>
    <w:p w:rsidR="00BC418B" w:rsidRPr="0022070D" w:rsidRDefault="00686DA4">
      <w:pPr>
        <w:widowControl w:val="0"/>
        <w:spacing w:after="0" w:line="240" w:lineRule="auto"/>
        <w:jc w:val="center"/>
        <w:rPr>
          <w:rFonts w:ascii="Times" w:eastAsia="Times" w:hAnsi="Times" w:cs="Times"/>
          <w:sz w:val="28"/>
          <w:szCs w:val="28"/>
        </w:rPr>
      </w:pPr>
      <w:r w:rsidRPr="0022070D">
        <w:rPr>
          <w:rFonts w:ascii="Times" w:eastAsia="Times" w:hAnsi="Times" w:cs="Times"/>
          <w:b/>
          <w:sz w:val="28"/>
          <w:szCs w:val="28"/>
        </w:rPr>
        <w:lastRenderedPageBreak/>
        <w:t>Зміст</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8"/>
          <w:szCs w:val="28"/>
        </w:rPr>
        <w:tab/>
      </w:r>
      <w:r w:rsidRPr="0022070D">
        <w:rPr>
          <w:rFonts w:ascii="Times" w:eastAsia="Times" w:hAnsi="Times" w:cs="Times"/>
          <w:sz w:val="24"/>
          <w:szCs w:val="24"/>
        </w:rPr>
        <w:t>Відмітьте (Х), якщо відповідна інформація міститься у річній інформації</w:t>
      </w:r>
    </w:p>
    <w:tbl>
      <w:tblPr>
        <w:tblStyle w:val="a8"/>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00"/>
        <w:gridCol w:w="1000"/>
      </w:tblGrid>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Основні відомості про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Інформація про одержані ліцензії (дозволи) на окремі види діяльності</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Відомості про участь емітента в інших юридичних особах</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Інформація щодо корпоративного секретаря</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Інформація про рейтингове агентство</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6. Інформація про наявність філіалів або інших відокремлених структурних підрозділів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7. Судові справи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8. Штрафні санкції щодо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9. Опис бізнесу</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інформація про органи управління</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інформація про посадових осіб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щодо освіти та стажу роботи посадових осіб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володіння посадовими особами емітента акціями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будь-які винагороди або компенсації, які мають бути виплачені посадовим особам емітента в разі їх звільнення</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інформація про засновників та/або учасників емітента, відсоток акцій (часток, паїв)</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11. Звіт керівництва (звіт про управління)</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вірогідні перспективи подальшого розвитку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інформація про розвиток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схильність емітента до цінових ризиків, кредитного ризику, ризику ліквідності та/або ризику грошових потоків</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звіт про корпоративне управління</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власний кодекс корпоративного управління, яким керується емітент</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практику корпоративного управління, застосовувану понад визначені законодавством вимоги</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проведені загальні збори акціонерів (учасників)</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наглядову раду</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виконавчий орган</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опис основних характеристик систем внутрішнього контролю і управління ризиками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перелік осіб, які прямо або опосередковано є власниками значного пакета акцій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інформація про будь-які обмеження прав участі та голосування акціонерів (учасників) на загальних зборах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порядок призначення та звільнення посадових осіб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повноваження посадових осіб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lastRenderedPageBreak/>
              <w:t>12. Інформація про власників пакетів 5 і більше відсотків акцій із зазначенням відсотка, кількості, типу та/або класу належних їм акцій</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інформація про випуски акцій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інформація про облігації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інформація про інші цінні папери, випущені емітентом</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інформація про похідні цінні папери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інформація про забезпечення випуску боргових цінних паперів</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6) інформація про придбання власних акцій емітентом протягом звітного періоду</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19. Інформація про наявність у власності працівників емітента цінних паперів (крім акцій) такого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23. Інформація про виплату дивідендів та інших доходів за цінними паперами</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24. Інформація про господарську та фінансову діяльність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інформація про основні засоби емітента (за залишковою вартістю)</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інформація щодо вартості чистих активів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інформація про зобов'язання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інформація про обсяги виробництва та реалізації основних видів продукції</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інформація про собівартість реалізованої продукції</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6) інформація про осіб, послугами яких користується емітент</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25. Інформація про прийняття рішення про попереднє надання згоди на вчинення значних правочинів</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26. Інформація про вчинення значних правочинів</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27. Інформація про вчинення правочинів, щодо вчинення яких є заінтересованість</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29. Річна фінансова звітність</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30.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lastRenderedPageBreak/>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32. Твердження щодо річної інформації</w:t>
            </w:r>
          </w:p>
        </w:tc>
        <w:tc>
          <w:tcPr>
            <w:tcW w:w="1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33. Інформація про акціонерні або корпоративні договори, укладені акціонерами (учасниками) такого емітента, яка наявна в емітента</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34. Інформація про будь-які договори та/або правочини, умовою чинності яких є незмінність осіб, які здійснюють контроль над емітентом</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35. Відомості щодо особливої інформації та інформації про іпотечні цінні папери, що виникала протягом звітного періоду</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36. Інформація про випуски іпотечних облігацій</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37. Інформація про склад, структуру і розмір іпотечного покриття</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39. Інформація про випуски іпотечних сертифікатів</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40. Інформація щодо реєстру іпотечних активів</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41. Основні відомості про ФОН</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42. Інформація про випуски сертифікатів ФОН</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43. Інформація про осіб, що володіють сертифікатами ФОН</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44. Розрахунок вартості чистих активів ФОН</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9000" w:type="dxa"/>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45. Правила ФОН</w:t>
            </w:r>
          </w:p>
        </w:tc>
        <w:tc>
          <w:tcPr>
            <w:tcW w:w="1000" w:type="dxa"/>
            <w:tcBorders>
              <w:top w:val="nil"/>
              <w:left w:val="nil"/>
              <w:bottom w:val="nil"/>
              <w:right w:val="nil"/>
            </w:tcBorders>
            <w:tcMar>
              <w:top w:w="0" w:type="dxa"/>
              <w:bottom w:w="0" w:type="dxa"/>
            </w:tcMar>
            <w:vAlign w:val="bottom"/>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10000" w:type="dxa"/>
            <w:gridSpan w:val="2"/>
            <w:tcBorders>
              <w:top w:val="nil"/>
              <w:left w:val="nil"/>
              <w:bottom w:val="nil"/>
              <w:right w:val="nil"/>
            </w:tcBorders>
            <w:tcMar>
              <w:top w:w="0" w:type="dxa"/>
              <w:bottom w:w="0" w:type="dxa"/>
            </w:tcMar>
            <w:vAlign w:val="bottom"/>
          </w:tcPr>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46. Примітки: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Вiдповiдно до вимог Положення про розкриття iнформацiї емiтентами цiнних паперiв, затвердженого рiшенням НКЦПФР вiд 03.12.13 №2826, а саме абзацу четвертого пункту 5 глави 4 Роздiлу II, Товариство зобов'язано розкривати регулярну рiчну iнформацiю вiдповiдно до перелiку, який визначено у пунктi 1 глави 4 роздiлу III цього Положення, крiм вимог пiдпунктiв 4, 6, 10, 13, 14, 20, 21, 26, 27, 29, 30 цього пункту, вiдповiдно тому емiтент не розкриває наступну iнформацiю:</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одержанi лiцензiї (дозволи) на окремi види дiяльностi;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щодо посади корпоративного секретаря;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будь-якi винагороди або компенсацiї, якi виплаченi посадовим особам емiтента в разi їх звiльнення;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змiну осiб, яким належить право голосу за акцiями, сумарна кiлькiсть прав за якими стає бiльшою, меншою або рiвною пороговому значенню пакета акцiй;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забезпечення випуску боргових цiнних паперiв;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lastRenderedPageBreak/>
              <w:t>- Звiт про стан об'єкта нерухомостi (у разi емiсiї цiльових облiгацiй пiдприємств, виконання зобов'язань за якими здiйснюється шляхом передання об'єкта (частини об'єкта) житлового будiвництва);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прийняття рiшення про попереднє надання згоди на вчинення значних правочинiв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вчинення значних правочинiв;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вчинення правочинiв, щодо вчинення яких є заiнтересованiсть</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осiб, заiнтересованих у вчиненнi товариством правочинiв iз заiнтересованiстю, та обставини, iснування яких створює заiнтересованiсть</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Аудиторський звiт незалежного аудитора, наданий за результатами аудиту фiнансової звiтностi емiтента аудитором (аудиторською фiрмою)</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Рiчна фiнансова звiтнiсть поручителя (страховика/гаранта), що здiйснює забезпечення випуску боргових цiнних паперiв (за кожним суб'єктом забезпечення окремо);</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Крiм того, по причинi вiдсутностi iнформацiї протягом 2020 року не заповнювалась наступна iнформацiя: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Вiдомостi про участь емiтента в iнших юридичних особах;</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рейтингове агентство;</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наявнiсть фiлiалiв або iнших вiдокремлених структурних пiдроздiлiв емiтента;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Судовi справи емiтента;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Штрафнi санкцiї емiтента;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змiну акцiонерiв, яким належать голосуючi акцiї, розмiр пакета яких стає бiльшим, меншим або рiвним пороговому значенню пакета акцiй;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облiгацiї емiтента;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iншi цiннi папери, випущенi емiтентом;</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похiднi цiннi папери емiтента;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придбання власних акцiй емiтентом протягом звiтного перiоду;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наявнiсть у власностi працiвникiв емiтента цiнних паперiв (крiм акцiй) такого емiтента;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загальну кiлькiсть голосуючих акцiй та кiлькiсть голосуючих акцiй, права голосу за якими обмежено, а також кiлькiсть голосуючих акцiй, права голосу за якими за результатами обмеження таких прав передано iншiй особi;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виплату дивiдендiв та iнших доходiв за цiнними паперами;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акцiонернi або корпоративнi договори, укладенi акцiонерами (учасниками) такого емiтента, яка наявна в емiтента;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Iнформацiя про будь-якi договори та/або правочини, умовою чинностi яких є незмiннiсть осiб, якi здiйснюють контроль над емiтентом;</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п.36 - 45 Змiсту - iнформацiя не зазначається, оскiльки Товариство не є ємiтентом iпотечних облiгацiй, iпотечних сертифiкатiв, сертифiкатiв ФОН.</w:t>
            </w:r>
          </w:p>
        </w:tc>
      </w:tr>
    </w:tbl>
    <w:p w:rsidR="00BC418B" w:rsidRPr="0022070D" w:rsidRDefault="00BC418B">
      <w:pPr>
        <w:widowControl w:val="0"/>
        <w:spacing w:after="0" w:line="240" w:lineRule="auto"/>
        <w:rPr>
          <w:rFonts w:ascii="Times" w:eastAsia="Times" w:hAnsi="Times" w:cs="Times"/>
          <w:sz w:val="24"/>
          <w:szCs w:val="24"/>
        </w:rPr>
        <w:sectPr w:rsidR="00BC418B" w:rsidRPr="0022070D">
          <w:pgSz w:w="12240" w:h="15840"/>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lastRenderedPageBreak/>
        <w:t>ІІІ. Основні відомості про емітента</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1. Повне найменування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ab/>
        <w:t>Приватне акцiонерне товариство "Ладижинський завод ЗБК"</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2. Скорочене найменування (за наявності)</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3. Дата проведення державної реєстрації</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29.03.1997</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4. Територія (область)</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Вінницька обл.</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 xml:space="preserve">5. Статутний капітал (грн) </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694984</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6. Відсоток акцій у статутному капіталі, що належать державі</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0</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0</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8. Середня кількість працівників (осіб)</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30</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9. Основні види діяльності із зазначенням найменування виду діяльності та коду за КВЕД</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23.61 - виготовлення виробiв з бетону для будiвництва (основний)</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23.63 - виробництво бетонних розчинiв, готових для використання</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23.69 - виробництво iнших виробiв iз бетону гiпсу та цементу;</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10. Банки, що обслуговують емітента</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найменування банку (філії, відділення банку), який обслуговує емітента за поточним рахунком у національній валюті</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Вiнницька фiлiя КБ "Приватбанк", МФО 302689</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IBAN</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UA 623026890000026004055324495</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поточний рахунок</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UA 623026890000026004055324495</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найменування банку (філії, відділення банку), який обслуговує емітента за поточним рахунком у іноземній валюті</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 МФО -</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IBAN</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6) поточний рахунок</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ab/>
        <w:t>-</w:t>
      </w: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t>XI. Опис бізнесу</w:t>
      </w:r>
    </w:p>
    <w:p w:rsidR="00BC418B" w:rsidRPr="0022070D" w:rsidRDefault="00BC418B">
      <w:pPr>
        <w:widowControl w:val="0"/>
        <w:spacing w:after="0" w:line="240" w:lineRule="auto"/>
        <w:jc w:val="center"/>
        <w:rPr>
          <w:rFonts w:ascii="Times" w:eastAsia="Times" w:hAnsi="Times" w:cs="Times"/>
          <w:b/>
          <w:sz w:val="28"/>
          <w:szCs w:val="28"/>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Зміни в організаційній структурі відповідно до попередніх звітних періодів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Органiзацiйно правова структура пiдприємства складається: Загальнi збори акцiонерiв, Наглядова рада, виконавчий орган Правлiння Товариства. За звiтний перiод не вiдбувалось нiяких змiн в органiзацiйнiй структурi. Емiтент не має дочiрнiх пiдприємств, фiлiй, представництв та iнших вiдокремлених структурних пiдроздiлiв.</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 xml:space="preserve">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w:t>
      </w:r>
      <w:r w:rsidRPr="0022070D">
        <w:rPr>
          <w:rFonts w:ascii="Times" w:eastAsia="Times" w:hAnsi="Times" w:cs="Times"/>
          <w:b/>
          <w:sz w:val="24"/>
          <w:szCs w:val="24"/>
        </w:rPr>
        <w:lastRenderedPageBreak/>
        <w:t>програма емітента, спрямована на забезпечення рівня кваліфікації її працівників операційним потребам емітента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середньооблiкова чисельнiсть штатних працiвникiв облiкового складу - 29 осiб;</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середня чисельнiсть позаштатних працiвникiв та осiб ,якi працюють за сумiсництвом - 1 особа;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працiвникiв, що працюють на умовах неповного робочого дня не має;</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Кадрова дiяльнiсть емiтента, спрямована на забезпечення рiвня квалiфiкацiї працiвникiв операцiйним потребам емiтента. Кадрової програми емiтент немає. </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Емiтент не належить до жодних з об'єднань пiдприємств.</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Cпільна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Емiтент не проводить спiльної дiяльностi з iншими пiдприємствами та установами.</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Будь-які пропозиції щодо реорганізації з боку третіх осіб, що мали місце протягом звітного періоду, умови та результати цих пропозицій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Щодо реорганiзацiї пiдприємства жодних пропозицiй з боку третiх осiб не надходило.</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Облiкова полiтика Товариства,обрана вiдповiдно статтi 8 Закону України "Про бухгалтерський облiк та фiнансову звiтнiсть в Українi", обгрунтована наказом №129-В вiд 04.08.2015 року у новiй редакцiї зi змiнами та доповненнями вiдповiдає забезпеченню єдиних принципiв оцiнки статей звiтностi, методiв облiку щодо окремих статей звiтностi та складання фiнансової звiтностi.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Основнi положення облiкової полiтики та оцiнки: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 При вiдображеннi в бухгалтерському облiку господарських операцiй i подiй застосовувати норми вiдповiдних Нацiональних положень (стандартiв) бухгалтерського облiку, затверджених Мiнiстерством фiнансiв України змiнами та доповненнями станом на 01 сiчня 2015 року.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2. Фiнансову звiтнiсть формувати вiдповiдно до ч.2 ст.11 Закону України " Про бухгал-терський облiк та фiнансову звiтнiсть в Українi" вiд 16.07.1999 № 996 ХIV з змiнами i допов-неннями та вимог Нацiональних стандартiв бухгалтерського облiку ( П (С)БО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3. Тривалiсть  операцiйного циклу виготовлення продукцiї визначати згiдно технологiчних процесiв.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4. Визнання, оцiнку та облiк основних  засобiв здiйснювати вiдповiдно до П(С)БО 7 iз до-триманням принципiв обачностi, переваги сутностi над формою.</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5. Для забезпечення первинного документування операцiй iз основними засобами використовувати типовi форми затвердженi наказом Мiнстату України " Про затвердження типових форм первинного облiку" вiд 29.12.95 року № 352.</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6. Придбанi ( створенi) основнi засоби зараховуються на баланс пiдприємства за первiсною вартiстю.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7. Первiсна вартiсть безоплатно отриманих основних засобiв дорiвнює їх витратам, пов'язаним з полiпшенням об'єкта ( модернiзацiя, модифiкацiя, добудова, дообладнання, реконструкцiя тощо), якщо це полiпшення призводить до збiльшення майбутнiх економi-чних вигод, первiсно очiкуваних вiд використання об'єкту.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8. Первiсна вартiсть основних засобiв зменшується у зв'язку з частковою лiквiдацiєю об'єкта </w:t>
      </w:r>
      <w:r w:rsidRPr="0022070D">
        <w:rPr>
          <w:rFonts w:ascii="Times" w:eastAsia="Times" w:hAnsi="Times" w:cs="Times"/>
          <w:sz w:val="24"/>
          <w:szCs w:val="24"/>
        </w:rPr>
        <w:lastRenderedPageBreak/>
        <w:t xml:space="preserve">основних засобiв.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9. Витрати на проведення технiчного огляду, нагляду, на  експлуатацiю та технiчне обслуговування об'єктiв основних засобiв, ( у тому чiслi  автомобiлiв), що здiйснюються для пiдтримання об'єкта в робочому станi,а також витрати на проведення поточного ремонту , ремонту з замiною складових частин обладнання або КТЗ, якi не пiдлягають ремонту а потребують їх замiни для вiдновлення основного засобу з метою одержання пер-вiсно визначеної суми майбутнiх економiчних вигод вiд його використання,  i виконання  яких не приведе до полiпшення об'єктiв ремонту  (то б то до збiльшення майбутнiх вигод, початково очiкуваних вiд використання об'єкта, а саме збiльшення потужностi обладнання, тармiну експлуатацiїї основного засобу). включати до складу витрат поточного перiоду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10. Витрати на проведення ремонтних робiт якi сприяють полiпшенню об'єктiв - їхнiй модернiзацiї (наприклад замiна двигуна на бiльш потужнiший), що зумовлює збiльшення майбутнiх економiчних вигод, первинно очiкуваних вiд використання об'єкта, то вартiсть таких робiт вiдносити  до збiльшення первинної вартостi об'єктiв ремонту.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11. Матерiальнi активи, термiн корисного використання (експлуатацiї) яких бiльше одного року, а вартiсть менше величини встановленої для основних засобiв вiдповiдно до вимог пункту 14.1.138 Податкового кодексу України( без ПДВ), вважати iншими необоротними матерiальними активами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12. Нарахування амортизацiї основних засобiв  в бухгалтерському й податковому облiку проводити за прямолiнiйним  методом. Нарахування амортизацiї проводити з першого мiсяця кварталу наступного за кварталом у якому було  прийнято рiшення про введення в експлуатацiю основного засобу.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13. Метод  нарахування амортизацiї може бути змiнено у випадку змiни очiкуваного способу отримання економiчної вигоди вiд його експлуатацiї за рiшення Правлiння або Наглядової ради.  Нарахування амортизацiї по новому методу амортизацiї починається  з мiсяця наступного за мiсяцем у якому було прийнято рiшення про змiну методу амортизацiї.</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14. Переоцiнку ( дооцiнку основних засобiв проводити у вiдповiдностi до вимог проздiлу " Переоцiнка основних засобiв" П(С) БО -7</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15. Визнання, оцiнку та облiк нематерiальних активiв здiйснювати у вiдповiдностi до вимог  П(С)БО 8  "Нематерiальнi активи" вартiсть яких перевищує вартiсть що визначається згiдно п.14.1.138 ПКУ.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16. Товарно-матерiальнi цiнностi визнавати, оцiнювати та облiковувати  згiдно з вимогами П(С)БО 9 "Запаси" . Одиницею бухгалтерського облiку запасiв вважати кожне їхнє найменування.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17. Первiсну оцiнку запасiв ( матерiалiв, палива, комплектуючого обладнання для монтажу, комплектуючих виробiв), здiйснювати в залежностi вiд шляхiв їх отримання пiдприємством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18. Застосовувати методи оцiнки запасiв:- при вибуттi у виробництво матерiалiв, сировини, палива, комплектуючих виробiв та напiвфабрикатiв, чи iншому вибуттi здiйснювати за методом середньозваженою собiвартiстю, яка визначається в цiлому за мiсяць . -  при реалiзацiї готової продукцiї - метод цiни продажу.Вiдображення у фiнансовiй звiтностi активу " Запаси" здiйснювати за найменшою з двох  оцiнок  собiвартiсть або чиста вартiсть реалiзацiї.</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19. Транспортно-заготiвельнi витрати пов'язанi з придбанням  запасiв, ключаються до первiсної вартостi запасiв безпосередньо в перiод оприбуткування  конкретної одиницi запасiв.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20. До складу грошових коштiв у фiнансовiй звiтностi згiдно з П(С)БО 4 "Звiт про рух гро-шових коштiв",  складеного  за прямим методом , включати грошовi кошти на розрахун-ковому рахунку та в касi, якi не обмеженi у використаннi протягом поточного  перiоду.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21. Визнання, оцiнку та облiк дебiторської заборгованостi здiйснювати вiдповiдно до  П(С)БО 10 "Дебiторська заборгованiсть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22. На пiдставi п. п. 134.1.1 ПКУ та згiдно П(С)БО 15 "Доходи" до  рiчного  доходу, визначеного за правилами бухгалтерського облiку, включати:-  дохiд (виручка) вiд реалiзацiї  продукцiї (товарiв, робiт, послуг),-  iншi операцiйнi доходи,- фiнансовi доходи,-  iншi доходи.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lastRenderedPageBreak/>
        <w:t xml:space="preserve">23. До складу собiвартостi реалiзованої продукцiї (робiт, послуг)  вiдносити:-  виробничу собiвартiсть продукцiї (робiт, послуг), яка була реалiзована протягом звiтного перiоду;-  нерозподiленi постiйнi загальновиробничi витрати;-  наднормативнi виробничi витрати.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24. До виробничої собiвартостi продукцiї (робiт, послуг) включати: -  прямi матерiальнi витрати- сировина, комплектуючi вироби, енергоносiї, теплоносiї, вода; - прямi витрати на оплату працi ( основна i додаткова ), вiдрахування на єдиний соцiальний внесок (законодавчо визначений), витрати на оплату  вiдпусток поточного перiоду ; -  iншi прямi витрати;- змiннi загальновиробничi та постiйнi розподiленi загальновиробничi витрати.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Основнi положення облiкових полiтик та облiкових оцiнок:</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здiйснювати ведення бухгалтерського облiку на пiдприємствi згiдно з принципами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та методами, передбаченими мiжнародними (стандартами) бухгалтерського облiку;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для визначення суттєвостi окремих об'єктiв облiку, що належать до активiв,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зобов'язань та капiталу порiг суттєвостi встановлюється у розмiрi 3% вiд валюти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балансу;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облiковувати необоротнi активи за собiвартiстю. Собiвартiсть об'єкта основних</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засобiв - це iсторична вартiсть або собiвартiсть будiвництва. Iсторична вартiсть</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об'єкта основних засобiв включає цiну придбання, та будь-якi витрати, пов'язанi з</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доставкою та приведення його устан, необхiдний для його експлуатацiї. Вартiсна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межа для вiднесення до складу основних засобiв складає 6000.00 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оцiнку зменшення корисностi необоротних активiв та необхiднiсть переоцiнки до</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справедливої вартостi визначається комiсiєю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амортизацiю об'єктiв основних засобiв нараховувати прямолiнiйним методом.</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Термiн корисного використання об'єктiвОЗ встановлюється комiсiєю, затвердженою</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наказом по пiдприємству;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амортизацiю малоцiнних необоротних матерiальних активiв нараховувати у першому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мiсяцi їх використання в розмiрi 100% їх вартостi;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амортизацiю нематерiальних активiв нараховувати прямолiнiйним способом;</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методом оцiнки руху запасiв є метод фактичної собiвартостi;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при вiдпуску малоцiнних та швидкозношуваних предметiв в експлуатацiю, їх</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вартiсть списується з балансу з подальшою органiзацiєю оперативного кiлькiсного</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облiку таких предметiв за мiсцями експлуатацiї та вiдповiдними особами протягом</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строку їх фактичного використання;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створювати забезпечення наступних витрат i платежiв (на виплату наступних</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вiдпусток працiвникам, виконання гарантiйних зобов'язань тощо);</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резерв сумнiвних боргiв визначати за методом абсолютної суми сумнiвної</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заборгованостi;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поточну дебiторську заборгованiсть включати до пiдсумку балансу за її первiсною</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вартiстю;</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доходи та витрати вiдображати у звiтному перiодi на основi принципу нарахування.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фiнансовi iнвестицiї вiдсутнi.</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 xml:space="preserve">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 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w:t>
      </w:r>
      <w:r w:rsidRPr="0022070D">
        <w:rPr>
          <w:rFonts w:ascii="Times" w:eastAsia="Times" w:hAnsi="Times" w:cs="Times"/>
          <w:b/>
          <w:sz w:val="24"/>
          <w:szCs w:val="24"/>
        </w:rPr>
        <w:lastRenderedPageBreak/>
        <w:t xml:space="preserve">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Основними видами продукцiї пiдприємства є залiзобетоннi вироби, а саме:</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опори ЛЄП;</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мережевий залiзобетон (фундаменти пiд високовольтнi ЛЄП, ригелi, плити анкернi, пiдп'ятники та iн.)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пiдстанцiйний залiзобетон ( вироби для будiвництва пiдстанцiй);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залiзобетон для будiвництва (плити перекриття багатопустотнi, фундаментнi блоки, перемички, бордюри, плити плоскi, дорожнi,заборнi, лотки та iн.)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бетон товарний та розчин для будiвництва.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Пiдприємство також може надавати послуги по доставцi продукцiї автотранспортом.</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Основними замовниками готової продукцiї є пiдприємства України, а також фiзичнi особи. Основними замовниками продукцiї в 2020р. були ПрАТ "Енергоконструкцiя", ТОВ                          "ВАБУД" та iншi.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Товариство в основному використовує прямi методи продажу.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Цiна на готову продукцiю має велику залежнiсть вiд цiн на сировину та матерiали i є економiчно обгрунтованою. Пiдприємство в цiноутвореннi використовує звичайнi цiни.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Для виробництва продукцiї використовується сировина, матерiали та комплектуючi вiтчизняного виробництва. Основними постачальниками яких в звiтному перiодi були : ТОВ "АВ Метал Груп", ТОВ "Парк плюс", КБМП "Дiапазон експрес", ТДВ "Вiнницяметалопостач", ТОВ "Зодчий", ФОП Кашич О.О., ТОВ "Зодчий", i т.п.</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Реалiзацiя готової продукцiї проводиться по попереднiй оплатi (як готiвковiй так i безготiвковiй).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Лабораторiєю здiйснюється постiйно контроль якостi сировини та матерiалiв, що надходять на виробництво, а також проводиться контроль за якiстю готової продукцi вiдповiдно до вимог ДСТУ. З 2017 року впроваджено Cистему управлiння якiстю ISO 9001:2015.</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 xml:space="preserve">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 </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 2016 рiк</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кап.ремонт обладнання БЗВ - 13,9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ввод в експлуатацiю станка для рiзки арматурної сталi - 19,5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модернiзацiя навiсу для станкiв i стрiчкової пилорами -21,5 ти.грн.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ввод в експлуатацiю стрiчкової пилорами -31,2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ремонт та покраска козлових кранiв на пилорамi та пол.№1 - 56,2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 2017 рiк</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капiтальний ремонт екскаватора - 59,6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обновлення комп'ютерної технiки, збiльшення її потужностi -10,2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ремонт коробки зчеплення на а/м МАЗ - 18,7тис.грн.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ввод в експлуатацiю двох компресорiв та їх налагодження - 389,6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замiна транспортерної стрiчки та ролiкiв на БЗВ - 206,9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ввод в експлуатацiю вiбраторiв на полiгонах - 44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модернiзацiя водопроводу -39,5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lastRenderedPageBreak/>
        <w:t>за 2018 рiк</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ввод в експлуатацiю пресса КД126 -75тис.грн.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ремонт автомобiля SUBARU FORESTER - 13,6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введена в експлуатацiю бензопила STIHL MS250 - 8,9 тис.грн.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 2019 рiк</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розпочато реконструкцiю бетонно змiшувального вузла для збiльшення потужностi виробництва бетонних сумiшiв та покращення їх якостi.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 2020 рiк</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завершено реконструкцію бетонно змішувально вузла для збільшення потужностей виробництва та покращення їх якості</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Мiсцезнаходження основних засобiв м. Ладижин , вул. Наконечного,184. Основнi засоби АТ "Ладижинськимй завод ЗБК" утримує тiльки з метою використання їх у процесi виробництва. Основнi засоби у звiтному перiодi не здаються i не орендуються у iнших юридичних або фiзичних осiб.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Обмiн об'єктiв основних засобiв на подiбнi об'єкти основних засобiв у звiтному перiодi не вiдбувалося.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Протягом 2020 року було укладено правочини мiж пов'язаною особою емiтента ПрАТ "Енергоконструкцiя".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Договори були укладенi з метою реалiзацiї готової продукцiї за звичайними цiнами.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Емiтентом не здiйснювалось правочинiв вiдносно основних засобiв.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Пiдприємство не планує капiтального будiвництва, значного розширення та збiльшення виробничих потужностей.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У звiтному перiодi виробничi потужностi були використанi на 39,99%.</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На виробництвi постiйно проводиться ремонт та модернiзацiя обладнання.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Планується провести модернiзацiю обладнання на бетонно змiшувальному вузлi та на полiгонах, що збiльшить об'єм виробництва бетонної сумiшi.</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Проблеми, які впливають на діяльність емітента; ступінь залежності від законодавчих або економічних обмежень</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На дiяльнiсть емiтента мають значний вплив економiчнi чинники та законодавчi обмеження. Нестабiльнiсть економiчного становища зменшує купiвельну платежеспроможнiсть потенцiйних замовникiв та значно збiльшує витрати на виробницво продукцiї та послуги. Постiйнi змiни в законодавчих актах розхитує i без того нестiйке становище в роботi пiдприємства.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Дiяльнiсть ПрАТ "Ладижинський завод ЗБК, як i дiяльнiсть iнших пiдприємств в Українi, знаходиться i продовжуватиме знаходитися в осяжному майбутньому пiд впливом безперервної полiтичної та економiчної невизначеностi в Українi, а також пiд впливом вiйськового протистояння на сходi України. Цi подiї мають негативний вплив на результати дiяльностi та фiнансовий стан Пiдприємства, характер якого на поточний момент визначити неможливо.</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lastRenderedPageBreak/>
        <w:t>Статутний капiтал акцiонерного товариства "Ладижинський завод ЗБК" станом на 31.12.2020 року становить 695 тис.грн. Згiдно проведених розрахункiв вартiсть чистих активiв акцiонерного товариства на кiнець звiтного року становить (статутний капiтал - 695 тис.грн., додатковий капiтал - 2 285,3 тис.грн., резервний капiтал - 103 тис.грн., непокритий збиток - (3326,7) тис.грн.) що бiльше розмiру статутного капiталу на 226,8 тис.грн., що вiдповiдає вимогам п.3 ст.155 ЦКУ та пiдтверджує можливiсть безперервного функцiонування в найближчому майбутньому.Управлiнський персонал вважає, що вiн вживає належнi заходи на пiдтримку стабiльностi дiяльностi Пiдприємства, остаточний влив i наслiдки полiтичної та економiчної кризи передбачити вкрай складно, проте вони можуть мати подальший негативний вплив на економiку України та бiзнес Пiдприємства.</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На кiнець звiтного перiоду не було не виконаних контрактiв, якi могли значно вплинути на прибутки пiдприємства.</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 подальшому емiтент планує збiльшувати обсяги виробництва та збуту продукцiї, та за рахунок цього покращити своє економiчне становище.</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Опис політики емітента щодо досліджень та розробок, вказати суму витрат на дослідження та розробку за звітний рік</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 звiтний перiод на пiдприємствi значних дослiджень та розробок не проводилось.</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b/>
          <w:sz w:val="24"/>
          <w:szCs w:val="24"/>
        </w:rPr>
      </w:pPr>
      <w:r w:rsidRPr="0022070D">
        <w:rPr>
          <w:rFonts w:ascii="Times" w:eastAsia="Times" w:hAnsi="Times" w:cs="Times"/>
          <w:b/>
          <w:sz w:val="24"/>
          <w:szCs w:val="24"/>
        </w:rPr>
        <w:t>Інша інформація, яка може бути істотною для оцінки інвестором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в довільній формі</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Iнформацiя, яка може бути iстотною для оцiнки iнвесторами фiнансового стану та результатiв дiяльностi емiтента вiдсутня.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t>IV. Інформація про органи управління</w:t>
      </w:r>
    </w:p>
    <w:tbl>
      <w:tblPr>
        <w:tblStyle w:val="a9"/>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000"/>
        <w:gridCol w:w="4000"/>
        <w:gridCol w:w="4000"/>
      </w:tblGrid>
      <w:tr w:rsidR="00BC418B" w:rsidRPr="0022070D">
        <w:trPr>
          <w:trHeight w:val="200"/>
        </w:trPr>
        <w:tc>
          <w:tcPr>
            <w:tcW w:w="2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Орган управління</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Структура</w:t>
            </w:r>
          </w:p>
        </w:tc>
        <w:tc>
          <w:tcPr>
            <w:tcW w:w="4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Персональний склад</w:t>
            </w:r>
          </w:p>
        </w:tc>
      </w:tr>
      <w:tr w:rsidR="00BC418B" w:rsidRPr="0022070D">
        <w:trPr>
          <w:trHeight w:val="200"/>
        </w:trPr>
        <w:tc>
          <w:tcPr>
            <w:tcW w:w="2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Загальнi збори</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Складається з акцiонерiв згiдно перелiку, наданого ПАТ "НДУ"</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 xml:space="preserve">Згiдно даних реєстру </w:t>
            </w:r>
          </w:p>
        </w:tc>
      </w:tr>
      <w:tr w:rsidR="00BC418B" w:rsidRPr="0022070D">
        <w:trPr>
          <w:trHeight w:val="200"/>
        </w:trPr>
        <w:tc>
          <w:tcPr>
            <w:tcW w:w="2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Наглядова рада</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Голова Наглядової ради</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Член Наглядової ради</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Член Наглядової ради</w:t>
            </w:r>
          </w:p>
          <w:p w:rsidR="00BC418B" w:rsidRPr="0022070D" w:rsidRDefault="00BC418B">
            <w:pPr>
              <w:widowControl w:val="0"/>
              <w:spacing w:after="0" w:line="240" w:lineRule="auto"/>
              <w:jc w:val="center"/>
              <w:rPr>
                <w:rFonts w:ascii="Times" w:eastAsia="Times" w:hAnsi="Times" w:cs="Times"/>
              </w:rPr>
            </w:pP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Коваль Олексiй Анатолiйович</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Сiрополка Людмила Iванiвна</w:t>
            </w:r>
          </w:p>
          <w:p w:rsidR="00BC418B" w:rsidRPr="0022070D" w:rsidRDefault="00BC418B">
            <w:pPr>
              <w:widowControl w:val="0"/>
              <w:spacing w:after="0" w:line="240" w:lineRule="auto"/>
              <w:jc w:val="center"/>
              <w:rPr>
                <w:rFonts w:ascii="Times" w:eastAsia="Times" w:hAnsi="Times" w:cs="Times"/>
              </w:rPr>
            </w:pPr>
          </w:p>
        </w:tc>
      </w:tr>
      <w:tr w:rsidR="00BC418B" w:rsidRPr="0022070D">
        <w:trPr>
          <w:trHeight w:val="200"/>
        </w:trPr>
        <w:tc>
          <w:tcPr>
            <w:tcW w:w="2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Правлiння</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Голова Правлiння</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Головний бухгалтер - член Правлiння</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Член Правлiння</w:t>
            </w:r>
          </w:p>
          <w:p w:rsidR="00BC418B" w:rsidRPr="0022070D" w:rsidRDefault="00BC418B">
            <w:pPr>
              <w:widowControl w:val="0"/>
              <w:spacing w:after="0" w:line="240" w:lineRule="auto"/>
              <w:jc w:val="center"/>
              <w:rPr>
                <w:rFonts w:ascii="Times" w:eastAsia="Times" w:hAnsi="Times" w:cs="Times"/>
              </w:rPr>
            </w:pP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Гринчик Iнна Яношiвна</w:t>
            </w:r>
          </w:p>
          <w:p w:rsidR="00BC418B" w:rsidRPr="0022070D" w:rsidRDefault="00BC418B">
            <w:pPr>
              <w:widowControl w:val="0"/>
              <w:spacing w:after="0" w:line="240" w:lineRule="auto"/>
              <w:jc w:val="center"/>
              <w:rPr>
                <w:rFonts w:ascii="Times" w:eastAsia="Times" w:hAnsi="Times" w:cs="Times"/>
              </w:rPr>
            </w:pP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Блажко Володимир Штефанович</w:t>
            </w:r>
          </w:p>
          <w:p w:rsidR="00BC418B" w:rsidRPr="0022070D" w:rsidRDefault="00BC418B">
            <w:pPr>
              <w:widowControl w:val="0"/>
              <w:spacing w:after="0" w:line="240" w:lineRule="auto"/>
              <w:jc w:val="center"/>
              <w:rPr>
                <w:rFonts w:ascii="Times" w:eastAsia="Times" w:hAnsi="Times" w:cs="Times"/>
              </w:rPr>
            </w:pPr>
          </w:p>
          <w:p w:rsidR="00BC418B" w:rsidRPr="0022070D" w:rsidRDefault="00BC418B">
            <w:pPr>
              <w:widowControl w:val="0"/>
              <w:spacing w:after="0" w:line="240" w:lineRule="auto"/>
              <w:jc w:val="center"/>
              <w:rPr>
                <w:rFonts w:ascii="Times" w:eastAsia="Times" w:hAnsi="Times" w:cs="Times"/>
              </w:rPr>
            </w:pPr>
          </w:p>
        </w:tc>
      </w:tr>
    </w:tbl>
    <w:p w:rsidR="00BC418B" w:rsidRPr="0022070D" w:rsidRDefault="00BC418B">
      <w:pPr>
        <w:widowControl w:val="0"/>
        <w:spacing w:after="0" w:line="240" w:lineRule="auto"/>
        <w:rPr>
          <w:rFonts w:ascii="Times" w:eastAsia="Times" w:hAnsi="Times" w:cs="Times"/>
        </w:rPr>
        <w:sectPr w:rsidR="00BC418B" w:rsidRPr="0022070D">
          <w:pgSz w:w="12240" w:h="15840"/>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lastRenderedPageBreak/>
        <w:t>V. Інформація про посадових осіб емітента</w:t>
      </w: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t>1. Інформація щодо освіти та стажу роботи посадових осіб емітента</w:t>
      </w:r>
    </w:p>
    <w:tbl>
      <w:tblPr>
        <w:tblStyle w:val="aa"/>
        <w:tblW w:w="14399" w:type="dxa"/>
        <w:tblInd w:w="-39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0"/>
        <w:gridCol w:w="2500"/>
        <w:gridCol w:w="3000"/>
        <w:gridCol w:w="850"/>
        <w:gridCol w:w="2250"/>
        <w:gridCol w:w="1000"/>
        <w:gridCol w:w="2481"/>
        <w:gridCol w:w="1418"/>
      </w:tblGrid>
      <w:tr w:rsidR="00BC418B" w:rsidRPr="0022070D" w:rsidTr="00686DA4">
        <w:trPr>
          <w:trHeight w:val="200"/>
        </w:trPr>
        <w:tc>
          <w:tcPr>
            <w:tcW w:w="9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 з/п</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Посада</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Прізвище, ім'я, по батькові</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Рік народження</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Освіта</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Стаж роботи (років)</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Найменування підприємства, ідентифікаційний код юридичної особи та посада, яку займав</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Дата набуття повноважень та термін, на який обрано (призначено)</w:t>
            </w:r>
          </w:p>
        </w:tc>
      </w:tr>
      <w:tr w:rsidR="00BC418B" w:rsidRPr="0022070D" w:rsidTr="00686DA4">
        <w:trPr>
          <w:trHeight w:val="200"/>
        </w:trPr>
        <w:tc>
          <w:tcPr>
            <w:tcW w:w="9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w:t>
            </w:r>
          </w:p>
        </w:tc>
      </w:tr>
      <w:tr w:rsidR="00BC418B" w:rsidRPr="0022070D" w:rsidTr="00686DA4">
        <w:trPr>
          <w:trHeight w:val="200"/>
        </w:trPr>
        <w:tc>
          <w:tcPr>
            <w:tcW w:w="900"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Голова Правлiння</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Гринчик Iнна Яношiвна</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1973</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вища</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27</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АТ "Ладижинський завод ЗБК", 00131966, посада менеджер зi збуту та ЗЕД</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17.04.2020, 5 рокiв</w:t>
            </w:r>
          </w:p>
        </w:tc>
      </w:tr>
      <w:tr w:rsidR="00BC418B" w:rsidRPr="0022070D" w:rsidTr="00686DA4">
        <w:trPr>
          <w:trHeight w:val="200"/>
        </w:trPr>
        <w:tc>
          <w:tcPr>
            <w:tcW w:w="900"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3499" w:type="dxa"/>
            <w:gridSpan w:val="7"/>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Опис:</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Посадова особа є акцiонером Товариства, частка якою володiє - 4,32% статутного капiталу Товариства. Iнших посад на будь-яких пiдприємствах не займає. Посадову особу переобрано на новий строк вiдповiдно до рiшення Наглядової ради Товариства вiд 17.04.2020 (протокол №2/2020 вiд 17.04.20) у зв'язку iз закiнченням термiну обрання вирiшено переобрати члена Правлiння Гринчик Iнну Яношiвну строком на 5 рокiв до 17.04.2025 р. Вiдповiдно до рiшення Правлiння Товариства вiд 17.04.2020 р. про розподiл обов'язкiв серед членiв Правлiння Товариства вирiшено продовжити перебування Гринчик Iнни Яношiвни на посадi Голови Правлiння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До компетенцiї Голови Правлiння входить органiзацiя роботи Правлiння Товариства, скликння засiданнь, забезпечення ведення</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протоколiв засiдань.</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Голова Правлiння має право:</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 представляти iнтереси Товариства в установах, пiдприємствах, органiзацiях в Українi та за її межами, а також дiє вiд iменi та в iнтересах Товариства без доручення в межах своїх повноважень;</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 уповноважений керувати поточними справами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3) забезпечувати виконання рiшень Загальних зборiв акцiонерiв Товариства; виступати вiд iменi Товариства в державних та судових органах та представляти Товариство в його стосунках з iншими юридичними та фiзичними особами;</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4) має право першого пiдпису на фiнансових документах;</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5) представляти Товариство в його стосунках з iншими юридичними та фiзичними особами;</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6) розподiляти обов'язки мiж членами Правлiння; 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компетенцiї вiдповiдно до положень Статуту;</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7) затверджувати штатний розпис та посадовi оклади спiвробiтникiв Товариства, встановлювати показники та розмiри премiювання працiвникiв Товариства, затверджувати положення про структурнi пiдроздiли Товариства та посадовi iнструкцiї, затверджувати правила внутрiшнього розпорядку;</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8) видавати накази i розпорядження обов'язковi для виконання всiма працiвниками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9) створювати органи, необхiднi для виконання цiлей та завдань Товариства; вести переговори, укладати угоди та контракти вiд iменi Товариства в межах України i за кордоном та видавати доручення про складання поточних угод;</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lastRenderedPageBreak/>
              <w:t>10) приймати на роботу та звiльняти працiвникiв Товариства, визначати граничну чисельнiсть персоналу;</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11) здiйснювати розподiл обов'язкiв мiж працiвниками та визначати їх повноваження при вирiшення питань дiяльностi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12) доручити рiшення окремих питань, якi належать до його компетенцiї, членам Правлiння або iншим працiвникам Товариства; в межах своїх повноважень розпоряджається вiд iменi та в iнтересах Товариства його майном, включаючи грошовi кошти;</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13) приймати рiшення про вiдрядження працiвникiв Товариства, включаючи вiдрядження за кордон;</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14) здiйснювати угоди, юридичнi акти, видавати доручення, вiдкривати в установах банкiв розрахунковi, валютнi та iншi рахунки;</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15) чинити iншi дiї, необхiднi для забезпечення керованостi та прибутковостi Товариства; виконувати iншi функцiї, якi необхiднi для забезпечення роботи Товариства, згiдно з чинним законодавством та внутрiшнiми документами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Непогашеної судимостi за корисливi та посадовi злочини немає. Загальний стаж роботи - 27 рокiв. Змiни в особливому складi в поточному роцi не вiдбувалися. Вiдомостi щодо посад на iнших пiдприємствах вiдсутнi. Розмiр виплаченої винагороди, в тому числi у натуральнiй формi, розголошується за запитом акiонера.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Останнi п'ять рокiв займала посаду посаду менеджера зi збуту та ЗЕД на АТ "Ладижинський завод ЗБК", а з 17 квiтня 2015 року займає посаду голови правлiння АТ "Ладижинський завод ЗБК".</w:t>
            </w:r>
          </w:p>
        </w:tc>
      </w:tr>
      <w:tr w:rsidR="00BC418B" w:rsidRPr="0022070D" w:rsidTr="00686DA4">
        <w:trPr>
          <w:trHeight w:val="200"/>
        </w:trPr>
        <w:tc>
          <w:tcPr>
            <w:tcW w:w="900"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lastRenderedPageBreak/>
              <w:t>2</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Член Правлiння</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Блажко Володимир Штефанович</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1975</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вища</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24</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АТ "Ладижинський завод ЗБК", 00131966, електрозварник арматурного цеху</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17.04.2020, 5 рокiв</w:t>
            </w:r>
          </w:p>
        </w:tc>
      </w:tr>
      <w:tr w:rsidR="00BC418B" w:rsidRPr="0022070D" w:rsidTr="00686DA4">
        <w:trPr>
          <w:trHeight w:val="200"/>
        </w:trPr>
        <w:tc>
          <w:tcPr>
            <w:tcW w:w="900"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3499" w:type="dxa"/>
            <w:gridSpan w:val="7"/>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Опис:</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Посадова особа є акцiонером Товариства, частка якою володiє - 0,011292% статутного капiталу Товариства. Iнших посад на будь яких пiдприємствах не займає. Посадову особу переобрано на новий строк вiдповiдно до рiшення Наглядової ради Товариства вiд 17.04.2020 (протокол №2/2020 вiд 17.04.20) у зв'язку iз закiнченням термiну обрання попереднього складу Правлiння вирiшено переобрати члена Правлiння Блажка Володимира Штефановича строком на 5 рокiв до 17.04.2025 р. Вiдомостi про посадову особу: перебуває у складi Правлiння Товариства з 17.04.2015 р.,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Як член Правлiння виконує функцiї в межах своєї компетенцiї згiдно Статуту та несе вiдповiдальнiсть за стан роботи на вiдповiдних дiлянках дiяльностi.</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До компетенцiї Правлiння належать всi питання дiяльностi Товариства, крiм тих, що вiднесенi до компетенцiй iнших органiв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Порядок формування Правлiння, а також вимоги до кандидатiв та членiв Правлiння встановлюються у Положеннi про правлiння.</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До виключної компетенцiї Правлiння належить:</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 затвердження в межах своєї компетенцiї положень, якими регулюються питання, пов'язанi з дiяльнiстю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 розробка проектiв рiчного бюджету, бiзнес-планiв, програм фiнансово-господарської дiяльностi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3) розробка та затвердження поточних фiнансово-господарських планiв i оперативних завдань Товариства та забезпечення їх реалiзацiї. Затвердження планiв роботи Правлiння;</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4) прийняття рiшень про укладення правочинiв на суму до 10 вiдсоткiв балансової вартостi активiв Товариства за даними останньої рiчної фiнансової звiтностi Товариства за попереднiм узгодженням з наглядовою радою;</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6) розробка штатного розкладу та затвердження правил внутрiшнього трудового розпорядку, посадових iнструкцiй та посадових окладiв працiвникiв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7) призначення керiвникiв фiлiй та представництв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ЗО днiв з дати надання вiдповiдної вимоги акцiонерiв;</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lastRenderedPageBreak/>
              <w:t>9) укладення та виконання колективного договору, призначення та вiдкликання осiб, якi беруть участь у колективних переговорах як представники правлiння, за погодженням iз наглядовою радою.</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Непогашеної судимостi за корисливi та посадовi злочини немає. Загальний стаж роботи - 24 роки. Змiни в особливому складi в поточному роцi не вiдбувалися. Розмiр виплаченої винагороди, в тому числi у натуральнiй формi, розголошується за запитом акiонера. Останнi п'ять рокiв працює електрогазозварником в арматурному цеху на АТ "Ладижинський завод ЗБК".</w:t>
            </w:r>
          </w:p>
        </w:tc>
      </w:tr>
      <w:tr w:rsidR="00BC418B" w:rsidRPr="0022070D" w:rsidTr="00686DA4">
        <w:trPr>
          <w:trHeight w:val="200"/>
        </w:trPr>
        <w:tc>
          <w:tcPr>
            <w:tcW w:w="900"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lastRenderedPageBreak/>
              <w:t>3</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Голова Наглядової ради</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Коваль Олексiй Анатолiйович</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1978</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вища</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ПрАТ "Енергоконструкцiя", 31810081, Заступник Генерального директора ПрАТ "Енергоконструкцiя"</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11.04.2017, 5 рокiв</w:t>
            </w:r>
          </w:p>
        </w:tc>
      </w:tr>
      <w:tr w:rsidR="00BC418B" w:rsidRPr="0022070D" w:rsidTr="00686DA4">
        <w:trPr>
          <w:trHeight w:val="200"/>
        </w:trPr>
        <w:tc>
          <w:tcPr>
            <w:tcW w:w="900"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3499" w:type="dxa"/>
            <w:gridSpan w:val="7"/>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Опис:</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Посадова особа є акцiонером Товариства, частка якою володiє - 0,002509% статутного капiталу Товариства. Працює: Голова правлiння ПрАТ "Енергоконструкцiя" с. Чайки Києво -Святошинський р-н, Київська обл. вул. Лобановського, буд.21/5 оф.кв.2.</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До компетенцiї Голови Наглядової Ради належить: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 затвердження в межах своєї компетенцiї положень, якими регулюються питання, пов'язанi з дiяльнiстю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3) прийняття рiшення про проведення чергових або позачергових загальних зборiв вiдповiдно до Статуту Товариства та Закону України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4) прийняття рiшення про продаж ранiше викуплених товариством акцiй;</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5) прийняття рiшення про розмiщення товариством iнших цiнних паперiв, крiм акцiй;</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6) прийняття рiшення про викуп розмiщених товариством iнших, крiм акцiй, цiнних паперiв;</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7) затвердження ринкової вартостi майна у випадках, передбачених ЗУ "Про акцiонернi товариства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8) обрання та вiдкликання повноважень голови i членiв Правлiння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9) затвердження умов контрактiв, якi укладатимуться з членами Правлiння Товариства , встановлення розмiру їх винагороди;</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11) обрання та припинення повноважень голови i членiв iнших органiв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12) обрання реєстрацiйної комiсiї, за винятком випадкiв, встановлених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13) визначення дати складання перелiку осiб, якi мають право на отримання дивiдендiв, порядку та строкiв виплати дивiдендiв у межах граничного строку, визначеного частиною другою статтi 30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14)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15) вирiшення питань про участь товариства у промислово-фiнансових групах та iнших об'єднаннях, про заснування iнших юридичних осiб;</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16) вирiшення питань, вiднесених до компетенцiї Наглядової ради роздiлом XVI ЗУ "Про акцiонернi товариства" у разi злиття, приєднання, подiлу, видiлу або перетворення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17) прийняття рiшення про вчинення значних правочинiв у випадках , передбачених частиною першою статтi 70 ЗУ "Про акцiонернi товариства";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18) визначення ймовiрностi визнання товариства неплатоспроможним внаслiдок прийняття ним на себе зобов'язань або їх виконання, у </w:t>
            </w:r>
            <w:r w:rsidRPr="0022070D">
              <w:rPr>
                <w:rFonts w:ascii="Times" w:eastAsia="Times" w:hAnsi="Times" w:cs="Times"/>
              </w:rPr>
              <w:lastRenderedPageBreak/>
              <w:t>тому числi внаслiдок виплати дивiдендiв або викупу акцiй;</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19) прийняття рiшення про обрання оцiнювача майна товариства та затвердження умов договору, що укладатиметься з ним, встановлення розмiру оплати його послуг;</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20)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21) надсилання пропозицiй акцiонерам про придбання належних їм простих акцiй особою (особами, що дiють спiльно), яка придбала контрольний пакет акцiй вiдповiдно до статтi 65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22) вирiшення iнших питань, що належать до виключної компетенцiї наглядової ради згiдно iз законом або Статутом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23) органiзовує роботу наглядової ради та здiйснює контроль за реалiзацiєю плану роботи, затвердженого наглядовою радою;</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24) скликає засiдання наглядової ради та головує на них, затверджує порядок денний засiдань, органiзовує ведення протоколiв засiдань нагдядової ради;</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25) готує доповiдь та звiтує перед загальними зборами акцiонерiв про дiяльнiсть наглядової ради, загальний стан Товариства та вжитi нею заходи, спрямованi на досягнення мети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26) пiдтримує постiйнi контакти iз iншими органами та посадовими особами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27) протягом 5 днiв з дати обрання (призначення) голови та членiв правлiння Товариства укладає вiд iменi Товариства контракт з Головою правлiння, строковi трудовi договори з членами правлiння.</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Непогашеної судимостi за корисливi та посадовi злочини немає. Загальний стаж роботи - 19 рокiв. Змiни в особливому складi в поточному роцi не вiдбувалися. Винагорода за виконання посадових обов'язкiв не передбачена.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2011-2015 р. - заступник Генерального директора ПрАТ "Енергоконструкцiя", 2015-2018 роки - Голова правлiння ПрАТ "Енергоконструкцiя".</w:t>
            </w:r>
          </w:p>
        </w:tc>
      </w:tr>
      <w:tr w:rsidR="00BC418B" w:rsidRPr="0022070D" w:rsidTr="00686DA4">
        <w:trPr>
          <w:trHeight w:val="200"/>
        </w:trPr>
        <w:tc>
          <w:tcPr>
            <w:tcW w:w="900"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lastRenderedPageBreak/>
              <w:t>4</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Член Наглядової ради</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Сiрополка Людмила Iванiвна</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1968</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вища</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"ПрАТ"Енергоконструкцiя", 31810081, головний бухгалтер</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11.04.2017, 5 рокiв</w:t>
            </w:r>
          </w:p>
        </w:tc>
      </w:tr>
      <w:tr w:rsidR="00BC418B" w:rsidRPr="0022070D" w:rsidTr="00686DA4">
        <w:trPr>
          <w:trHeight w:val="200"/>
        </w:trPr>
        <w:tc>
          <w:tcPr>
            <w:tcW w:w="900"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3499" w:type="dxa"/>
            <w:gridSpan w:val="7"/>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Опис:</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Посадова особа є акцiонером Товариства, частка якою володiє - 0,001254% статутного капiталу Товариства.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До компетенцiї члена Наглядової ради належить: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 затвердження в межах своєї компетенцiї положень, якими регулюються питання, пов'язанi з дiяльнiстю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3) прийняття рiшення про проведення чергових або позачергових загальних зборiв вiдповiдно до Статуту Товариства та Закону України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4) прийняття рiшення про продаж ранiше викуплених товариством акцiй;</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5) прийняття рiшення про розмiщення товариством iнших цiнних паперiв, крiм акцiй;</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6) прийняття рiшення про викуп розмiщених товариством iнших, крiм акцiй, цiнних паперiв;</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7) затвердження ринкової вартостi майна у випадках, передбачених ЗУ "Про акцiонернi товариства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8) обрання та вiдкликання повноважень голови i членiв Правлiння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9) затвердження умов контрактiв, якi укладатимуться з членами Правлiння Товариства , встановлення розмiру їх винагороди;</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10) прийняття рiшення про вiдсторонення голови Правлiння вiд виконання його повноважень та обрання особи, яка тимчасово здiйснюватиме повноваження голови Правлiння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11) обрання та припинення повноважень голови i членiв iнших органiв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12) обрання реєстрацiйної комiсiї, за винятком випадкiв, встановлених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lastRenderedPageBreak/>
              <w:t>13) визначення дати складання перелiку осiб, якi мають право на отримання дивiдендiв, порядку та строкiв виплати дивiдендiв у межах граничного строку, визначеного частиною другою статтi 30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14) визначення дати складання перелiку акцiонерiв, якi мають бути повiдомленi про проведення загальних зборiв вiдповiдно до частини першої статтi 35 ЗУ "Про акцiонернi товариства" та мають право на участь у загальних зборах вiдповiдно до статтi 34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15) вирiшення питань про участь товариства у промислово-фiнансових групах та iнших об'єднаннях, про заснування iнших юридичних осiб;</w:t>
            </w:r>
          </w:p>
          <w:p w:rsidR="00BC418B" w:rsidRPr="0022070D" w:rsidRDefault="00BC418B">
            <w:pPr>
              <w:widowControl w:val="0"/>
              <w:spacing w:after="0" w:line="240" w:lineRule="auto"/>
              <w:rPr>
                <w:rFonts w:ascii="Times" w:eastAsia="Times" w:hAnsi="Times" w:cs="Times"/>
              </w:rPr>
            </w:pP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16) вирiшення питань, вiднесених до компетенцiї Наглядової ради роздiлом XVI ЗУ "Про акцiонернi товариства" у разi злиття, приєднання, подiлу, видiлу або перетворення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17) прийняття рiшення про вчинення значних правочинiв у випадках , передбачених частиною першою статтi 70 ЗУ "Про акцiонернi товариства";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18)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19) прийняття рiшення про обрання оцiнювача майна товариства та затвердження умов договору, що укладатиметься з ним, встановлення розмiру оплати його послуг;</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20) прийняття рiшення про обрання (замiну) реєстратора власникiв iменних цiнних паперiв товариства або депозитарiя цiнних паперiв та затвердження умов договору, що укладатиметься з ним, встановлення розмiру оплати його послуг; </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21) надсилання пропозицiй акцiонерам про придбання належних їм простих акцiй особою (особами, що дiють спiльно), яка придбала контрольний пакет акцiй вiдповiдно до статтi 65 ЗУ "Про акцiонернi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22) вирiшення iнших питань, що належать до виключної компетенцiї наглядової ради згiдно iз законом або Статутом Товариства;</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23) Виконує обов'язки голови Наглядової ради за його вiдсутностi або у разi неможливостi виконання ним своїх обов'язкiв.</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Непогашеної судимостi за корисливi та посадовi злочини немає. Змiни в особливому складi в поточному роцi не вiдбувалися. Загальний стаж роботи - 16 рокiв. Винагорода за виконання посадових обов'язкiв не передбачена. Останнi п'ять рокiв: заступник головного бухгалтера "ПрАТ"Енергоконструкцiя", а з 1 серпня 2016 року - головний бухгалтер "ПрАТ"Енергоконструкцiя", наразi - пенсiонерка.</w:t>
            </w:r>
          </w:p>
        </w:tc>
      </w:tr>
      <w:tr w:rsidR="00BC418B" w:rsidRPr="0022070D" w:rsidTr="00686DA4">
        <w:trPr>
          <w:trHeight w:val="200"/>
        </w:trPr>
        <w:tc>
          <w:tcPr>
            <w:tcW w:w="900"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lastRenderedPageBreak/>
              <w:t>5</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В.о. головного бухгалтера</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Перепелиця Наталiя Вiкторiвна</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1986</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вища</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14</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АТ "Ладижинський завод ЗБК", 00131966, бухгалтер</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25.09.2019, до виходу з декретної вiдпустки</w:t>
            </w:r>
          </w:p>
        </w:tc>
      </w:tr>
      <w:tr w:rsidR="00BC418B" w:rsidRPr="0022070D" w:rsidTr="00686DA4">
        <w:trPr>
          <w:trHeight w:val="200"/>
        </w:trPr>
        <w:tc>
          <w:tcPr>
            <w:tcW w:w="900"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3499" w:type="dxa"/>
            <w:gridSpan w:val="7"/>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Опис:</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Особа не надала згоди на розкриття паспортних даних. Попереднi мiсця роботи за останнi 5 рокiв: економiст АТ "Брокбiзнесбанк", провiдний бухгалтер Ладижинська фiлiя ПАТ"Миронiвський хлiбопродукт", бухгалтер АТ "Ладижинський завод ЗБК". Посадову особу призначено у звiтному перiодi, вiдповiдно до наказу покладено виконання посадових обов'язкiв головного бухгалтера. Непогашеної судимостi за корисливi та посадовi злочини немає. Вiдомостi щодо посад на iнших пiдприємствах вiдсутнi. Загальний стаж роботи - 14 рокiв. Розмiр виплаченої винагороди, в тому числi у натуральнiй формi, розголошується за запитом акiонера. До повноважень, як головного бухгалтера, належить: органiзацiя i ведення бухгалтерського облiку на пiдприємствi. 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облiк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w:t>
            </w:r>
          </w:p>
        </w:tc>
      </w:tr>
      <w:tr w:rsidR="00BC418B" w:rsidRPr="0022070D" w:rsidTr="00686DA4">
        <w:trPr>
          <w:trHeight w:val="200"/>
        </w:trPr>
        <w:tc>
          <w:tcPr>
            <w:tcW w:w="900"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Головний бухгалтер - Член Правлiння</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Котик Наталiя Юрiївна</w:t>
            </w:r>
          </w:p>
        </w:tc>
        <w:tc>
          <w:tcPr>
            <w:tcW w:w="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1980</w:t>
            </w:r>
          </w:p>
        </w:tc>
        <w:tc>
          <w:tcPr>
            <w:tcW w:w="22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вища</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w:t>
            </w:r>
          </w:p>
        </w:tc>
        <w:tc>
          <w:tcPr>
            <w:tcW w:w="248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АТ "Ладижинський завод ЗБК", 00131966, бухгалтер</w:t>
            </w:r>
          </w:p>
        </w:tc>
        <w:tc>
          <w:tcPr>
            <w:tcW w:w="1418"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24.04.2019, безстроково</w:t>
            </w:r>
          </w:p>
        </w:tc>
      </w:tr>
      <w:tr w:rsidR="00BC418B" w:rsidRPr="0022070D" w:rsidTr="00686DA4">
        <w:trPr>
          <w:trHeight w:val="200"/>
        </w:trPr>
        <w:tc>
          <w:tcPr>
            <w:tcW w:w="900"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3499" w:type="dxa"/>
            <w:gridSpan w:val="7"/>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Опис:</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Особа не надала згоди на розкриття паспортних даних. Попереднi мiсця роботи за останнi 5 рокiв: бухгалтер АТ "Ладижинський завод ЗБК". Посадову особу призначено у звiтному перiодi, Загальними зборами акцiонерiв Приватного акцiонерного Товариства "Ладижинський завод ЗБК" (протокол № 1 вiд 24.04.2019р), якi вiдбулись 24.04.2019 року, прийнято рiшення про обрання члена Правлiння АТ "Ладижинський завод ЗБК" Котик Наталiї Юрiївни. Непогашеної судимостi за корисливi та посадовi злочини немає. Вiдомостi щодо посад на iнших пiдприємствах вiдсутнi. Загальний стаж роботи - 16 рокiв. Розмiр виплаченої винагороди, в тому числi у натуральнiй формi, розголошується за запитом акiонера. До повноважень, як головного бухгалтера, належить: органiзацiя i ведення бухгалтерського облiку на пiдприємствi. 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облiк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Посадова особа наразi перебуває у декретнiй вiдпустцi по догляду за дитиною.</w:t>
            </w:r>
          </w:p>
        </w:tc>
      </w:tr>
    </w:tbl>
    <w:p w:rsidR="00BC418B" w:rsidRPr="0022070D" w:rsidRDefault="00BC418B">
      <w:pPr>
        <w:widowControl w:val="0"/>
        <w:spacing w:after="0" w:line="240" w:lineRule="auto"/>
        <w:rPr>
          <w:rFonts w:ascii="Times" w:eastAsia="Times" w:hAnsi="Times" w:cs="Times"/>
        </w:rPr>
      </w:pPr>
    </w:p>
    <w:p w:rsidR="00BC418B" w:rsidRPr="0022070D" w:rsidRDefault="00BC418B">
      <w:pPr>
        <w:widowControl w:val="0"/>
        <w:spacing w:after="0" w:line="240" w:lineRule="auto"/>
        <w:jc w:val="center"/>
        <w:rPr>
          <w:rFonts w:ascii="Times" w:eastAsia="Times" w:hAnsi="Times" w:cs="Times"/>
          <w:b/>
          <w:sz w:val="28"/>
          <w:szCs w:val="28"/>
        </w:r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t>2. Інформація про володіння посадовими особами емітента акціями емітента</w:t>
      </w:r>
    </w:p>
    <w:tbl>
      <w:tblPr>
        <w:tblStyle w:val="ab"/>
        <w:tblW w:w="14399" w:type="dxa"/>
        <w:tblInd w:w="-39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50"/>
        <w:gridCol w:w="4400"/>
        <w:gridCol w:w="1200"/>
        <w:gridCol w:w="1300"/>
        <w:gridCol w:w="2400"/>
        <w:gridCol w:w="2049"/>
      </w:tblGrid>
      <w:tr w:rsidR="00BC418B" w:rsidRPr="0022070D" w:rsidTr="00686DA4">
        <w:trPr>
          <w:trHeight w:val="200"/>
        </w:trPr>
        <w:tc>
          <w:tcPr>
            <w:tcW w:w="3050" w:type="dxa"/>
            <w:vMerge w:val="restart"/>
            <w:tcBorders>
              <w:top w:val="single" w:sz="6" w:space="0" w:color="000000"/>
              <w:bottom w:val="nil"/>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Посада</w:t>
            </w:r>
          </w:p>
        </w:tc>
        <w:tc>
          <w:tcPr>
            <w:tcW w:w="44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 xml:space="preserve">Прізвище, ім'я, по батькові фізичної особи або повне найменування юридичної особи </w:t>
            </w:r>
          </w:p>
        </w:tc>
        <w:tc>
          <w:tcPr>
            <w:tcW w:w="12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 xml:space="preserve"> Кількість акцій (шт.)</w:t>
            </w:r>
          </w:p>
        </w:tc>
        <w:tc>
          <w:tcPr>
            <w:tcW w:w="13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Від загальної кількості акцій (у відсотках)</w:t>
            </w:r>
          </w:p>
        </w:tc>
        <w:tc>
          <w:tcPr>
            <w:tcW w:w="4449"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Кількість за видами акцій</w:t>
            </w:r>
          </w:p>
        </w:tc>
      </w:tr>
      <w:tr w:rsidR="00BC418B" w:rsidRPr="0022070D" w:rsidTr="00686DA4">
        <w:trPr>
          <w:trHeight w:val="200"/>
        </w:trPr>
        <w:tc>
          <w:tcPr>
            <w:tcW w:w="3050" w:type="dxa"/>
            <w:vMerge/>
            <w:tcBorders>
              <w:top w:val="single" w:sz="6" w:space="0" w:color="000000"/>
              <w:bottom w:val="nil"/>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44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12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13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Прості іменні</w:t>
            </w:r>
          </w:p>
        </w:tc>
        <w:tc>
          <w:tcPr>
            <w:tcW w:w="2049"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b/>
              </w:rPr>
              <w:t>Привілейовані іменні</w:t>
            </w:r>
          </w:p>
        </w:tc>
      </w:tr>
      <w:tr w:rsidR="00BC418B" w:rsidRPr="0022070D" w:rsidTr="00686DA4">
        <w:trPr>
          <w:trHeight w:val="200"/>
        </w:trPr>
        <w:tc>
          <w:tcPr>
            <w:tcW w:w="3050" w:type="dxa"/>
            <w:tcBorders>
              <w:top w:val="nil"/>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44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w:t>
            </w:r>
          </w:p>
        </w:tc>
        <w:tc>
          <w:tcPr>
            <w:tcW w:w="13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w:t>
            </w:r>
          </w:p>
        </w:tc>
        <w:tc>
          <w:tcPr>
            <w:tcW w:w="2049"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w:t>
            </w:r>
          </w:p>
        </w:tc>
      </w:tr>
      <w:tr w:rsidR="00BC418B" w:rsidRPr="0022070D" w:rsidTr="00686DA4">
        <w:trPr>
          <w:trHeight w:val="200"/>
        </w:trPr>
        <w:tc>
          <w:tcPr>
            <w:tcW w:w="305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Голова правлiння</w:t>
            </w:r>
          </w:p>
        </w:tc>
        <w:tc>
          <w:tcPr>
            <w:tcW w:w="4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Гринчик Iнна Яношiвна</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3 446</w:t>
            </w:r>
          </w:p>
        </w:tc>
        <w:tc>
          <w:tcPr>
            <w:tcW w:w="13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4,3237</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3 446</w:t>
            </w:r>
          </w:p>
        </w:tc>
        <w:tc>
          <w:tcPr>
            <w:tcW w:w="2049"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rsidTr="00686DA4">
        <w:trPr>
          <w:trHeight w:val="200"/>
        </w:trPr>
        <w:tc>
          <w:tcPr>
            <w:tcW w:w="305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Член правлiння</w:t>
            </w:r>
          </w:p>
        </w:tc>
        <w:tc>
          <w:tcPr>
            <w:tcW w:w="4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Блажко Володимир Штефанович</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9</w:t>
            </w:r>
          </w:p>
        </w:tc>
        <w:tc>
          <w:tcPr>
            <w:tcW w:w="13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0,0113</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9</w:t>
            </w:r>
          </w:p>
        </w:tc>
        <w:tc>
          <w:tcPr>
            <w:tcW w:w="2049"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rsidTr="00686DA4">
        <w:trPr>
          <w:trHeight w:val="200"/>
        </w:trPr>
        <w:tc>
          <w:tcPr>
            <w:tcW w:w="305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Голова наглядової Ради</w:t>
            </w:r>
          </w:p>
        </w:tc>
        <w:tc>
          <w:tcPr>
            <w:tcW w:w="4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Коваль Олексiй Анатолiйович</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13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0,0026</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2049"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rsidTr="00686DA4">
        <w:trPr>
          <w:trHeight w:val="200"/>
        </w:trPr>
        <w:tc>
          <w:tcPr>
            <w:tcW w:w="305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Член Наглядової Ради</w:t>
            </w:r>
          </w:p>
        </w:tc>
        <w:tc>
          <w:tcPr>
            <w:tcW w:w="4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Сiрополка Людмила Iванiвна</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13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0,0013</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2049"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bl>
    <w:p w:rsidR="00BC418B" w:rsidRPr="0022070D" w:rsidRDefault="00BC418B">
      <w:pPr>
        <w:widowControl w:val="0"/>
        <w:spacing w:after="0" w:line="240" w:lineRule="auto"/>
        <w:rPr>
          <w:rFonts w:ascii="Times" w:eastAsia="Times" w:hAnsi="Times" w:cs="Times"/>
        </w:rPr>
        <w:sectPr w:rsidR="00BC418B" w:rsidRPr="0022070D">
          <w:pgSz w:w="15840" w:h="12240" w:orient="landscape"/>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lastRenderedPageBreak/>
        <w:t>VI. Інформація про засновників та/або учасників емітента та відсоток акцій (часток, паїв)</w:t>
      </w:r>
    </w:p>
    <w:tbl>
      <w:tblPr>
        <w:tblStyle w:val="ac"/>
        <w:tblW w:w="992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920"/>
        <w:gridCol w:w="1700"/>
        <w:gridCol w:w="3300"/>
        <w:gridCol w:w="2000"/>
      </w:tblGrid>
      <w:tr w:rsidR="00BC418B" w:rsidRPr="0022070D">
        <w:trPr>
          <w:trHeight w:val="200"/>
        </w:trPr>
        <w:tc>
          <w:tcPr>
            <w:tcW w:w="292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Найменування юридичної особи засновника та/або учасника</w:t>
            </w:r>
          </w:p>
        </w:tc>
        <w:tc>
          <w:tcPr>
            <w:tcW w:w="17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Ідентифікаційний код юридичної особи засновника та/або учасника</w:t>
            </w:r>
          </w:p>
        </w:tc>
        <w:tc>
          <w:tcPr>
            <w:tcW w:w="33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Місцезнаходження</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Відсоток акцій (часток, паїв), які належать засновнику та/або учаснику (від загальної кількості)</w:t>
            </w:r>
          </w:p>
        </w:tc>
      </w:tr>
      <w:tr w:rsidR="00BC418B" w:rsidRPr="0022070D">
        <w:trPr>
          <w:trHeight w:val="200"/>
        </w:trPr>
        <w:tc>
          <w:tcPr>
            <w:tcW w:w="292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Приватне акцiонерне товариство "Енергоконструкцiя"</w:t>
            </w:r>
          </w:p>
        </w:tc>
        <w:tc>
          <w:tcPr>
            <w:tcW w:w="17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31810081</w:t>
            </w:r>
          </w:p>
        </w:tc>
        <w:tc>
          <w:tcPr>
            <w:tcW w:w="33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08130, Україна, Київська обл., Києво-Святошинський р-н р-н, с.Чайки, вул.Лобановського Валерiя 21, корп. 5, кв. 2</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67,57</w:t>
            </w:r>
          </w:p>
        </w:tc>
      </w:tr>
      <w:tr w:rsidR="00BC418B" w:rsidRPr="0022070D">
        <w:trPr>
          <w:trHeight w:val="200"/>
        </w:trPr>
        <w:tc>
          <w:tcPr>
            <w:tcW w:w="7920" w:type="dxa"/>
            <w:gridSpan w:val="3"/>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Прізвище, ім'я, по батькові фізичної особи</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Відсоток акцій (часток, паїв), які належать засновнику та/або учаснику (від загальної кількості)</w:t>
            </w:r>
          </w:p>
        </w:tc>
      </w:tr>
      <w:tr w:rsidR="00BC418B" w:rsidRPr="0022070D">
        <w:trPr>
          <w:trHeight w:val="200"/>
        </w:trPr>
        <w:tc>
          <w:tcPr>
            <w:tcW w:w="7920" w:type="dxa"/>
            <w:gridSpan w:val="3"/>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Учасники емiтента є акцiонери Товариства- загальна кiлькiсть складає 50 осiб</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32,43</w:t>
            </w:r>
          </w:p>
        </w:tc>
      </w:tr>
      <w:tr w:rsidR="00BC418B" w:rsidRPr="0022070D">
        <w:trPr>
          <w:trHeight w:val="200"/>
        </w:trPr>
        <w:tc>
          <w:tcPr>
            <w:tcW w:w="7920" w:type="dxa"/>
            <w:gridSpan w:val="3"/>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right"/>
              <w:rPr>
                <w:rFonts w:ascii="Times" w:eastAsia="Times" w:hAnsi="Times" w:cs="Times"/>
                <w:b/>
              </w:rPr>
            </w:pPr>
            <w:r w:rsidRPr="0022070D">
              <w:rPr>
                <w:rFonts w:ascii="Times" w:eastAsia="Times" w:hAnsi="Times" w:cs="Times"/>
                <w:b/>
              </w:rPr>
              <w:t>Усього</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100</w:t>
            </w:r>
          </w:p>
        </w:tc>
      </w:tr>
    </w:tbl>
    <w:p w:rsidR="00BC418B" w:rsidRPr="0022070D" w:rsidRDefault="00BC418B">
      <w:pPr>
        <w:widowControl w:val="0"/>
        <w:spacing w:after="0" w:line="240" w:lineRule="auto"/>
        <w:rPr>
          <w:rFonts w:ascii="Times" w:eastAsia="Times" w:hAnsi="Times" w:cs="Times"/>
        </w:rPr>
      </w:pPr>
    </w:p>
    <w:p w:rsidR="00BC418B" w:rsidRPr="0022070D" w:rsidRDefault="00686DA4">
      <w:pPr>
        <w:widowControl w:val="0"/>
        <w:spacing w:after="0" w:line="240" w:lineRule="auto"/>
        <w:jc w:val="center"/>
        <w:rPr>
          <w:rFonts w:ascii="Times" w:eastAsia="Times" w:hAnsi="Times" w:cs="Times"/>
          <w:sz w:val="28"/>
          <w:szCs w:val="28"/>
        </w:rPr>
      </w:pPr>
      <w:r w:rsidRPr="0022070D">
        <w:rPr>
          <w:rFonts w:ascii="Times" w:eastAsia="Times" w:hAnsi="Times" w:cs="Times"/>
          <w:b/>
          <w:sz w:val="28"/>
          <w:szCs w:val="28"/>
        </w:rPr>
        <w:t>VII. Звіт керівництва (звіт про управління)</w:t>
      </w:r>
    </w:p>
    <w:p w:rsidR="00BC418B" w:rsidRPr="0022070D" w:rsidRDefault="00BC418B">
      <w:pPr>
        <w:widowControl w:val="0"/>
        <w:spacing w:after="0" w:line="240" w:lineRule="auto"/>
        <w:jc w:val="center"/>
        <w:rPr>
          <w:rFonts w:ascii="Times" w:eastAsia="Times" w:hAnsi="Times" w:cs="Times"/>
          <w:sz w:val="28"/>
          <w:szCs w:val="28"/>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1. Вірогідні перспективи подальшого розвитку емітента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Основною стратегiєю Товариства на поточний рiк є стабiлiзацiя фiнансового стану. В перспективi пiдприємство планує продовжувати здiйснювати тi ж види дiяльностi, що i в звiтному роцi. Перспективнiсть подальшого розвитку емiтента залежить вiд законодавчих змiн, вона пов'язана iз забезпеченням прийняття та виконання адекватних управлiнських рiшень вiдповiдно до змiн зовнiшнього середовища. Перспективи подальшого розвитку пiдприємства визначаються рiвнем ефективностi реалiзацiї фiнансової, iнвестицiйної, iнновацiйної полiтик, покращення кадрового забезпечення, успiшної реалiзацiї маркетингових програм тощо. Для Емiтента необхiдним є розроблення та запровадження рацiональної економiчної полiтики розвитку з метою досягнення ефективних результатiв своєї дiяльностi та конкурентоспроможностi пiдприємства.</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2. Інформація про розвиток емітента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Товариство створене i здiйснює дiяльнiсть на основi Цивiльного кодексу України, Господарського кодексу України, Законiв України "Про акцiонернi товариства", "Про цiннi папери та фондовий ринок", "Про Нацiональну депозитарну систему та особливостi електронного обiгу цiнних паперiв в Українi", нормативно-правових актiв України, iнших актiв законодавства України, цього Статуту та внутрiшнiх документiв Товариства. Основними видами дiяльностi ПрАТ "Ладижинський завод ЗБК" є: виготовлення виробiв iз бетону для будiвництва (квед 23.61),виробництво бетонних розчинiв, готових для використання (квед 23.63), виробництво iнших виробiв iз бетону гiпсу та цементу (квед 23.69); оптова торгiвля деревиною, будiвельними матерiалами та санiтарно-технiчним обладнанням (квед 46.73); вантажний автомобiльний транспорт (квед 49.41); допомiжне обслуговування наземного транспорту (квед 52.21); Траспортне оброблення вантажiв (квед 52.24); iнша допомiжна дiяльнiсть у сферi транспорту (квед 52.29); будiвництво житлових i нежитлових будiвель (квед 41.20).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У 2019 роцi Товариством розпочато реконструкцiю бетонно змiшувального вузла для </w:t>
      </w:r>
      <w:r w:rsidRPr="0022070D">
        <w:rPr>
          <w:rFonts w:ascii="Times" w:eastAsia="Times" w:hAnsi="Times" w:cs="Times"/>
          <w:sz w:val="24"/>
          <w:szCs w:val="24"/>
        </w:rPr>
        <w:lastRenderedPageBreak/>
        <w:t xml:space="preserve">збiльшення потужностi виробництва бетонних сумiшiв та покращення їх якостi. На дiяльнiсть пiдприємства iстотно впливають постiйнi змiни у податковому законодавствi та в iнвестицiйнiй полiтицi держави, неплатоспроможнiсть партнерiв i населення, наявнiсть недобросовiсної конкуренцiї, зношенiсть основних засобiв.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Ступiнь залежностi вiд зазначених проблем: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постiйнi змiни законодавства - ступiнь залежностi середня;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нестабiльнiсть цiн - ступiнь залежностi висока;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знос виробничого обладнання - ступiнь залежностi висока;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низька платоспроможнiсть споживачiв - ступiнь залежностi висока;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погоднi умови - ступiнь залежностi середня.</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 зокрема інформацію про:</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1) завдання та політику емітента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Завдань та полiтики Товариства щодо управлiння фiнансовими ризиками немає.</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2) схильність емітента до цінових ризиків, кредитного ризику, ризику ліквідності та/або ризику грошових потоків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Виробнича дiяльнiсть Товарисва не має схильностi до цiнових ризикiв, кредитного ризику, ризику лiквiдностi та/або ризику грошових потокiв.</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4. Звіт про корпоративне управління: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1) посилання на: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власний кодекс корпоративного управління, яким керується емітент</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Власний кодекс корпоративного управлiння Товариства був принятий 17.04.2015р.</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Товариство не застосовує кодекс корпоративного управлiння фондової бiржi, об'єднання юридичних осiб або iнший кодекс корпоративного управлiння.</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вся відповідна інформація про практику корпоративного управління, застосовувану понад визначені законодавством вимоги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Практика корпоративного управлiння, застосовувана понад визначенi законодавством вимоги -вiдсутня.</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2) у разі якщо емітент відхиляється від положень кодексу корпоративного управління, 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Пiд час розробки Кодексу Товариством враховувалися положення Принципiв корпоративного управлiння України, затверджених Нацiональною комiсiєю з цiнних паперiв, принципiв корпоративного управлiння Органiзацiї економiчного спiвробiтництва та розвитку (OECDPrinciplesofCorporateGovernance) та iнших документiв, у яких викладенi найкращi мiжнароднi стандарти корпоративного управлiння.У своїй дiяльностi Товариство дотримується </w:t>
      </w:r>
      <w:r w:rsidRPr="0022070D">
        <w:rPr>
          <w:rFonts w:ascii="Times" w:eastAsia="Times" w:hAnsi="Times" w:cs="Times"/>
          <w:sz w:val="24"/>
          <w:szCs w:val="24"/>
        </w:rPr>
        <w:lastRenderedPageBreak/>
        <w:t>вимог та положень Кодексу.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Кодекс Товариства не суперечить вимогам законодавства України та є обов'язковими для усiх його акцiонерiв та працiвникiв. Передбачається, що принципи - Кодекс Товариства переглядатимуться та змiнюватимуться вiдповiдно до змiн iнвестицiйного середовища, у якому iснує Товариство, з урахуванням того, що вдосконалення моделей корпоративного управлiння є постiйним еволюцiйним процесом.</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3) інформація про загальні збори акціонерів (учасників)</w:t>
      </w:r>
    </w:p>
    <w:p w:rsidR="00BC418B" w:rsidRPr="0022070D" w:rsidRDefault="00BC418B">
      <w:pPr>
        <w:widowControl w:val="0"/>
        <w:spacing w:after="0" w:line="240" w:lineRule="auto"/>
        <w:jc w:val="both"/>
        <w:rPr>
          <w:rFonts w:ascii="Times" w:eastAsia="Times" w:hAnsi="Times" w:cs="Times"/>
          <w:sz w:val="24"/>
          <w:szCs w:val="24"/>
        </w:rPr>
      </w:pPr>
    </w:p>
    <w:tbl>
      <w:tblPr>
        <w:tblStyle w:val="ad"/>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000"/>
        <w:gridCol w:w="4000"/>
        <w:gridCol w:w="2000"/>
        <w:gridCol w:w="2000"/>
      </w:tblGrid>
      <w:tr w:rsidR="00BC418B" w:rsidRPr="0022070D">
        <w:trPr>
          <w:trHeight w:val="253"/>
        </w:trPr>
        <w:tc>
          <w:tcPr>
            <w:tcW w:w="6000" w:type="dxa"/>
            <w:gridSpan w:val="2"/>
            <w:vMerge w:val="restart"/>
            <w:tcBorders>
              <w:top w:val="single" w:sz="6" w:space="0" w:color="000000"/>
              <w:bottom w:val="nil"/>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Вид загальних зборів</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річні</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позачергові</w:t>
            </w:r>
          </w:p>
        </w:tc>
      </w:tr>
      <w:tr w:rsidR="00BC418B" w:rsidRPr="0022070D">
        <w:trPr>
          <w:trHeight w:val="200"/>
        </w:trPr>
        <w:tc>
          <w:tcPr>
            <w:tcW w:w="6000" w:type="dxa"/>
            <w:gridSpan w:val="2"/>
            <w:vMerge/>
            <w:tcBorders>
              <w:top w:val="single" w:sz="6" w:space="0" w:color="000000"/>
              <w:bottom w:val="nil"/>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X</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r>
      <w:tr w:rsidR="00BC418B" w:rsidRPr="0022070D">
        <w:trPr>
          <w:trHeight w:val="200"/>
        </w:trPr>
        <w:tc>
          <w:tcPr>
            <w:tcW w:w="6000" w:type="dxa"/>
            <w:gridSpan w:val="2"/>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Дата проведення</w:t>
            </w:r>
          </w:p>
        </w:tc>
        <w:tc>
          <w:tcPr>
            <w:tcW w:w="4000" w:type="dxa"/>
            <w:gridSpan w:val="2"/>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27.04.2020</w:t>
            </w:r>
          </w:p>
        </w:tc>
      </w:tr>
      <w:tr w:rsidR="00BC418B" w:rsidRPr="0022070D">
        <w:trPr>
          <w:trHeight w:val="200"/>
        </w:trPr>
        <w:tc>
          <w:tcPr>
            <w:tcW w:w="6000" w:type="dxa"/>
            <w:gridSpan w:val="2"/>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Кворум зборів</w:t>
            </w:r>
          </w:p>
        </w:tc>
        <w:tc>
          <w:tcPr>
            <w:tcW w:w="4000"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100</w:t>
            </w:r>
          </w:p>
        </w:tc>
      </w:tr>
      <w:tr w:rsidR="00BC418B" w:rsidRPr="0022070D">
        <w:trPr>
          <w:trHeight w:val="200"/>
        </w:trPr>
        <w:tc>
          <w:tcPr>
            <w:tcW w:w="2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Опис</w:t>
            </w:r>
          </w:p>
        </w:tc>
        <w:tc>
          <w:tcPr>
            <w:tcW w:w="8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ПОРЯДОК ДЕННИЙ:</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 xml:space="preserve">1. Обрання складу Лiчильної комiсiї загальних зборiв та припинення її повноважень. </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 xml:space="preserve">2. Обрання Голови та Секретаря загальних зборiв, затвердження регламенту загальних зборiв, порядку голосування та прийняття рiшень на загальних зборах. </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3.Розгляд звiту наглядової ради за наслiдками дiяльностi у 2019 роцi  та затвердження заходiв за результатами його розгляду; прийняття рiшення за наслiдками розгляду звiту наглядової ради;</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4.Розгляд звiту виконавчого органу за наслiдками дiяльностi у 2019 роцi  та затвердження заходiв за результатами його розгляду; прийняття рiшення за наслiдками розгляду звiту виконавчого органу;</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5.Затвердження рiчного звiту товариства та рiчної iнформацiї емiтента за наслiдками 2019 року; розподiл прибутку i збиткiв товариства з урахуванням вимог, передбачених законом;</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6.Розгляд висновкiв зовнiшнього аудиту та затвердження заходiв за результатами його розгляду;</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7.Про необхiднiсть внесення даних щодо органiв управлiння Товариства до Єдиного державного реєстру юридичних осiб, фiзичних осiб - пiдприємцiв та громадських формувань. Надання повноважень на здiйснення державної реєстрацiї змiн вiдомостей про органи управлiння Товариства.</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 xml:space="preserve">Пропозицiй щодо питань порядку денного не надходило. Протягом зборiв також пропозицiй вiд акцiонерiв не надходило. Перелiк прийнятих рiшень. Всi рiшення було прийнято одноголосно акцiонерами, що володiють 100% голосуючих акцiй Товариства. </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Прийнятi рiшення:</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Рiшення №1:</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 xml:space="preserve">1.Обрати Лiчильну комiсiю у складi 1 особи:  Кузьмiчової Iрини Геннадiївни. </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2.Припинити повноваження обраної Лiчильної комiсiї Загальних зборiв з моменту завершення Загальних зборiв.</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Рiшення №2:</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1.Обрати Головою зборiв - Гринчик Iнну Яношiвну, Секретарем зборiв - Перепелицю Наталiю Вiкторiвну.</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 xml:space="preserve">2.Затвердити наступний регламент Зборiв: </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з усiх питань порядку денного рiшення приймаються простою бiльшiстю (бiльш як 50%) голосiв акцiонерiв, якi зареєструвалися для участi у загальних зборах та є власниками голосуючих з цих питань акцiй;</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3.Голосування проводити за принципом: одна голосуюча акцiя - один голос. З усiх питань порядку денного проводити голосування за допомогою бюлетенiв для голосування.</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4.Надати час для виступу: доповiдачам до 15 хвилин, виступаючим до 3 хвилин.</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Рiшення №3:</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lastRenderedPageBreak/>
              <w:t>1. Звiт Наглядової ради Товариства за результатами дiяльностi у 2019 роцi взяти до вiдома, роботу Наглядової ради Товариства визнати задовiльною</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Рiшення №4:</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1. Звiт виконавчого органу Товариства - Правлiння Товариства за результатами дiяльностi у 2019 роцi взяти до вiдома, роботу виконавчого органу Товариства - Правлiння Товариства визнати задовiльною.</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Рiшення №5:</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1.Затвердити рiчний звiт Товариства та рiчну iнформацiю емiтента за пiдсумками фiнансово-господарської дiяльностi Товариства у 2019 року.</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2.Прибуток товариства за пiдсумками фiнансово-господарської дiяльностi Товариства у 2019 роцi направити на розвиток товариства.</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3.За пiдсумками фiнансово-господарської дiяльностi Товариства у 2019 роцi дивiденди не нараховувати та не сплачувати.</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Рiшення №6:</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1.Не розглядати звiт зовнiшнього аудитора у зв'язку iз тим, що рiшення щодо залучення аудитора до проведення аудиту за пiдсумками фiнансово-господарської дiяльностi товариства у 2019 роцi не приймалося.</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Рiшення №7:</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 xml:space="preserve">1. Внести необхiднi данi щодо органiв управлiння Товариства - Наглядової ради Товариства, та виконавчого органу - Правлiння Товариства до Єдиного державного реєстру. </w:t>
            </w: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2. Уповноважити Голову Правлiння Товариства вчинити всi необхiднi дiї (з правом делегування повноважень) для органiзацiї державної реєстрацiї вiдповiдних змiн вiдомостей про органи управлiння Товариства з метою внесення до даних Єдиного державного реєстру вiдомостей про органи управлiння Товариства - Наглядову раду Товариства, та виконавчий орган - Правлiння Товариства.</w:t>
            </w:r>
          </w:p>
        </w:tc>
      </w:tr>
    </w:tbl>
    <w:p w:rsidR="00BC418B" w:rsidRPr="0022070D" w:rsidRDefault="00BC418B">
      <w:pPr>
        <w:widowControl w:val="0"/>
        <w:spacing w:after="0" w:line="240" w:lineRule="auto"/>
        <w:rPr>
          <w:rFonts w:ascii="Times" w:eastAsia="Times" w:hAnsi="Times" w:cs="Times"/>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Який орган здійснював реєстрацію акціонерів для участі в загальних зборах акціонерів останнього разу у звітному році?</w:t>
      </w:r>
    </w:p>
    <w:tbl>
      <w:tblPr>
        <w:tblStyle w:val="ae"/>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40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Реєстраційна комісія, призначена особою, що скликала загальні збори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Акціонери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Депозитарна установа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(зазначити)</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Реєстрацiю акцiонерiв, що прибули на Загальнi збори акцiонерiв, здiйснювала Реєстрацiйна комiся (яка була затверджена Наглядовою радою </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 xml:space="preserve">Який орган здійснював контроль за станом реєстрації акціонерів або їх представників для участі в останніх загальних зборах у звітному році </w:t>
      </w:r>
      <w:r w:rsidRPr="0022070D">
        <w:rPr>
          <w:rFonts w:ascii="Times" w:eastAsia="Times" w:hAnsi="Times" w:cs="Times"/>
          <w:sz w:val="24"/>
          <w:szCs w:val="24"/>
        </w:rPr>
        <w:t>(за наявності контролю)</w:t>
      </w:r>
      <w:r w:rsidRPr="0022070D">
        <w:rPr>
          <w:rFonts w:ascii="Times" w:eastAsia="Times" w:hAnsi="Times" w:cs="Times"/>
          <w:b/>
          <w:sz w:val="24"/>
          <w:szCs w:val="24"/>
        </w:rPr>
        <w:t>?</w:t>
      </w:r>
    </w:p>
    <w:tbl>
      <w:tblPr>
        <w:tblStyle w:val="af"/>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7000"/>
        <w:gridCol w:w="1500"/>
        <w:gridCol w:w="1500"/>
      </w:tblGrid>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Національна комісія з цінних паперів та фондового ринку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Акціонери, які володіють у сукупності більше ніж 10 відсотками акцій</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У який спосіб відбувалось голосування з питань порядку денного на загальних зборах останнього разу у звітному році?</w:t>
      </w:r>
    </w:p>
    <w:tbl>
      <w:tblPr>
        <w:tblStyle w:val="af0"/>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40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Підняттям карток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Бюлетенями (таємне голосування)</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Підняттям рук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lastRenderedPageBreak/>
              <w:t>Інше (зазначити)</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 Голосування з питань порядку денного на Загальних зборах акцiонерiв вiдбувалось з використанням бюлетенiв для голосування. Рiшення приймалися простою бiльшiстю голосiв, а саме бiльш нiж 50% голосiв акцiонерiв, якi зареєструвались для участi у Зборах.</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Які основні причини скликання останніх позачергових зборів у звітному році?</w:t>
      </w:r>
    </w:p>
    <w:tbl>
      <w:tblPr>
        <w:tblStyle w:val="af1"/>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40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Реорганізація</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Додатковий випуск акцій</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Унесення змін до статуту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Прийняття рішення про збільшення статутного капіталу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Прийняття рішення про зменшення статутного капіталу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Обрання або припинення повноважень голови та членів наглядової ради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Обрання або припинення повноважень членів виконавчого органу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Обрання або припинення повноважень членів ревізійної комісії (ревізора)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Делегування додаткових повноважень наглядовій раді</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Інше (зазначити)</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Останнi позачерговi збори вiдбулися в 2 липня 2010 рку. Переведення випуску iменних акцiй з документарної, в бездокументарну. Затвердження рiшення про дематерiалiзацiю, визначення Депозитарiю, Зберiгача, визначення дати припинення ведення реєстру, визначення способу повiдомлення акцiонерiв про прийняття рiшення про дематерiалiзацiю. Розiрвання договору по веденню реєстру з Реєстратором товариства ВАТ "Фiнансова компанiя "Укрнафтогаз". Затвердження внутрiшнiх Положень "Про загальнi збори акцiонерiв", "Про Наглядову раду", "Про правлiння", "Про Ревiзора", "Про реєстрацiйну та лiчильну комiсiю". </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Чи проводились у звітному році загальні збори акціонерів у формі заочного голосування?</w:t>
      </w:r>
    </w:p>
    <w:tbl>
      <w:tblPr>
        <w:tblStyle w:val="af2"/>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7000"/>
        <w:gridCol w:w="1500"/>
        <w:gridCol w:w="1500"/>
      </w:tblGrid>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У разі скликання позачергових загальних зборів зазначаються їх ініціатори:</w:t>
      </w:r>
    </w:p>
    <w:tbl>
      <w:tblPr>
        <w:tblStyle w:val="af3"/>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7000"/>
        <w:gridCol w:w="1500"/>
        <w:gridCol w:w="1500"/>
      </w:tblGrid>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Наглядова рада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Виконавчий орган</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Ревізійна комісія (ревізор)</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Акціонери (акціонер), які (який) на день подання вимоги сукупно є власниками (власником) 10 і більше відсотків голосуючих акцій товариства </w:t>
            </w:r>
          </w:p>
        </w:tc>
        <w:tc>
          <w:tcPr>
            <w:tcW w:w="3000"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(зазначити)</w:t>
            </w:r>
          </w:p>
        </w:tc>
        <w:tc>
          <w:tcPr>
            <w:tcW w:w="3000"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 xml:space="preserve"> Останнi позачерговi збори були скликанi з iнiцiативи Наглядової </w:t>
            </w:r>
            <w:r w:rsidRPr="0022070D">
              <w:rPr>
                <w:rFonts w:ascii="Times" w:eastAsia="Times" w:hAnsi="Times" w:cs="Times"/>
                <w:sz w:val="24"/>
                <w:szCs w:val="24"/>
              </w:rPr>
              <w:lastRenderedPageBreak/>
              <w:t>ради товариства 2 липня 2010 року</w:t>
            </w:r>
          </w:p>
        </w:tc>
      </w:tr>
    </w:tbl>
    <w:p w:rsidR="00BC418B" w:rsidRPr="0022070D" w:rsidRDefault="00BC418B">
      <w:pPr>
        <w:widowControl w:val="0"/>
        <w:spacing w:after="0" w:line="240" w:lineRule="auto"/>
        <w:rPr>
          <w:rFonts w:ascii="Times" w:eastAsia="Times" w:hAnsi="Times" w:cs="Times"/>
          <w:sz w:val="24"/>
          <w:szCs w:val="24"/>
        </w:rPr>
      </w:pPr>
    </w:p>
    <w:tbl>
      <w:tblPr>
        <w:tblStyle w:val="af4"/>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5000"/>
        <w:gridCol w:w="5000"/>
      </w:tblGrid>
      <w:tr w:rsidR="00BC418B" w:rsidRPr="0022070D">
        <w:trPr>
          <w:trHeight w:val="200"/>
        </w:trPr>
        <w:tc>
          <w:tcPr>
            <w:tcW w:w="5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У разі скликання, але непроведення річних (чергових) загальних зборів зазначається причина їх непроведення</w:t>
            </w:r>
          </w:p>
        </w:tc>
        <w:tc>
          <w:tcPr>
            <w:tcW w:w="5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скликанi Збори проведено</w:t>
            </w:r>
          </w:p>
        </w:tc>
      </w:tr>
    </w:tbl>
    <w:p w:rsidR="00BC418B" w:rsidRPr="0022070D" w:rsidRDefault="00BC418B">
      <w:pPr>
        <w:widowControl w:val="0"/>
        <w:spacing w:after="0" w:line="240" w:lineRule="auto"/>
        <w:rPr>
          <w:rFonts w:ascii="Times" w:eastAsia="Times" w:hAnsi="Times" w:cs="Times"/>
          <w:sz w:val="24"/>
          <w:szCs w:val="24"/>
        </w:rPr>
      </w:pPr>
    </w:p>
    <w:tbl>
      <w:tblPr>
        <w:tblStyle w:val="af5"/>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5000"/>
        <w:gridCol w:w="5000"/>
      </w:tblGrid>
      <w:tr w:rsidR="00BC418B" w:rsidRPr="0022070D">
        <w:trPr>
          <w:trHeight w:val="200"/>
        </w:trPr>
        <w:tc>
          <w:tcPr>
            <w:tcW w:w="5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У разі скликання, але непроведення позачергових загальних зборів зазначається причина їх непроведення</w:t>
            </w:r>
          </w:p>
        </w:tc>
        <w:tc>
          <w:tcPr>
            <w:tcW w:w="5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протягом звiтного перiоду позачерговi Збори не скликалися</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4) інформація про наглядову раду та виконавчий орган емітента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Склад наглядової ради (за наявності) </w:t>
      </w:r>
    </w:p>
    <w:p w:rsidR="00BC418B" w:rsidRPr="0022070D" w:rsidRDefault="00BC418B">
      <w:pPr>
        <w:widowControl w:val="0"/>
        <w:spacing w:after="0" w:line="240" w:lineRule="auto"/>
        <w:rPr>
          <w:rFonts w:ascii="Times" w:eastAsia="Times" w:hAnsi="Times" w:cs="Times"/>
          <w:sz w:val="24"/>
          <w:szCs w:val="24"/>
        </w:rPr>
      </w:pPr>
    </w:p>
    <w:tbl>
      <w:tblPr>
        <w:tblStyle w:val="af6"/>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2000"/>
        <w:gridCol w:w="2500"/>
        <w:gridCol w:w="2500"/>
      </w:tblGrid>
      <w:tr w:rsidR="00BC418B" w:rsidRPr="0022070D">
        <w:trPr>
          <w:trHeight w:val="200"/>
        </w:trPr>
        <w:tc>
          <w:tcPr>
            <w:tcW w:w="5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Персональний склад наглядової ради</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Незалежний член наглядової ради</w:t>
            </w:r>
          </w:p>
        </w:tc>
        <w:tc>
          <w:tcPr>
            <w:tcW w:w="2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b/>
                <w:sz w:val="24"/>
                <w:szCs w:val="24"/>
              </w:rPr>
              <w:t>Залежний член наглядової ради</w:t>
            </w:r>
          </w:p>
        </w:tc>
      </w:tr>
      <w:tr w:rsidR="00BC418B" w:rsidRPr="0022070D">
        <w:trPr>
          <w:trHeight w:val="200"/>
        </w:trPr>
        <w:tc>
          <w:tcPr>
            <w:tcW w:w="5000" w:type="dxa"/>
            <w:gridSpan w:val="2"/>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Коваль Олексiй Анатолiйович</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2500" w:type="dxa"/>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Функціональні обов'язки члена наглядової ради</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Згiдно Статуту Товариства: До виключної компетенцiї наглядової ради належить: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-затвердження в межах своєї компетенцiї положень, якими регулюються питання, пов'язанi з фiнансово-господарською дiяльнiстю товариства;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-затвердження звiту про винагороду членiв виконавчого органу акцiонерного товариства, вимоги до якого встановлюються Нацiональною комiсiєю з цiнних паперiв та фондового ринку;</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проведення чергових та позачергових загальних зборiв на вимогу акцiонерiв або за пропозицiєю виконавчого органу та у випадках, встановлених Законом;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-формування тимчасової лiчильної комiсiї у разi скликання загальних зборiв акцiонерiв;</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-затвердження форми i тексту бюлетенiв для голосування;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продаж ранiше викуплених товариством акцiй;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розмiщення товариством iнших цiнних паперiв, крiм акцiй;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викуп розмiщених товариством iнших, </w:t>
            </w:r>
            <w:r w:rsidRPr="0022070D">
              <w:rPr>
                <w:rFonts w:ascii="Times" w:eastAsia="Times" w:hAnsi="Times" w:cs="Times"/>
                <w:sz w:val="24"/>
                <w:szCs w:val="24"/>
              </w:rPr>
              <w:lastRenderedPageBreak/>
              <w:t xml:space="preserve">крiм акцiй, цiнних паперiв;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-затвердження ринкової вартостi майна у випадках, передбачених Законом "Про акцiонернi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-обрання та вiдкликання повноважень голови i членiв виконавчого органу;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-затвердження умов цивiльно-правових, трудових договорiв, якi укладатимуться з членами виконавчого органу, встановлення розмiру їх винагороди;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вiдсторонення голови виконавчого органу вiд виконання його повноважень та обрання особи, яка тимчасово здiйснюватиме повноваження голови виконавчого органу;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-обрання та припинення повноважень голови i членiв iнших органiв товариства;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-призначення i звiльнення керiвника пiдроздiлу внутрiшнього аудиту (внутрiшнього аудитора);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-здiйснення контролю за своєчаснiстю надання (опублiкування) товариством достовiрної iнформацiї про його дiяльнiсть вiдповiдно до законодавства, опублiкування товариством iнформацiї про принципи (кодекс) корпоративного управлiння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-розгляд звiту виконавчого органу та затвердження заходiв за результатами його розгляду у разi вiднесення статутом товариства питання про призначення та звiльнення голови та членiв виконавчого органу до виключної компетенцiї наглядової ради;</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-обрання реєстрацiйної комiсiї, за винятком випадкiв, встановлених чинним законодавством;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-обрання аудитора (аудиторської фiрми) Товариства  для проведення аудиторської перевiрки за результатами поточного та/або минулого (минулих) року (рокiв) та визначення умов договору, що укладатиметься з таким аудитором (аудиторською фiрмою), встановлення розмiру оплати його (її) послуг;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-затвердження рекомендацiй загальним зборам за результатами розгляду висновку зовнiшнього незалежного аудитора </w:t>
            </w:r>
            <w:r w:rsidRPr="0022070D">
              <w:rPr>
                <w:rFonts w:ascii="Times" w:eastAsia="Times" w:hAnsi="Times" w:cs="Times"/>
                <w:sz w:val="24"/>
                <w:szCs w:val="24"/>
              </w:rPr>
              <w:lastRenderedPageBreak/>
              <w:t>(аудиторської фiрми) товариства для прийняття рiшення щодо нього;</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-визначення дати складення перелiку осiб, якi мають право на отримання дивiдендiв, порядку та строкiв виплати дивiдендiв у межах граничного строку, визначеного законодавством;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-визначення дати складення перелiку акцiонерiв, якi мають бути повiдомленi про проведення загальних зборiв вiдповiдно до частини першої статтi 35 Закону та мають право на участь у загальних зборах вiдповiдно до статтi 34 Закону;</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-вирiшення питань про участь Товариства  у промислово-фiнансових групах та iнших об'єднаннях, про заснування iнших юридичних осiб;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-вирiшення питань про створення, реорганiзацiю та/або лiквiдацiю структурних та/або вiдокремлених пiдроздiлiв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вчинення значних правочинiв у випадках, якщо ринкова вартiсть майна або послуг, що є його предметом, становить вiд 10 до 25 вiдсоткiв вартостi активiв за даними останньої рiчної фiнансової звiтностi;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-прийняття рiшення про надання згоди на вчинення правочину, щодо вчинення якого є заiнтересованiсть (далi - правочин iз заiнтересованiстю), якщо ринкова вартiсть майна або послуг чи сума коштiв, що є предметом правочину iз заiнтересованiстю, перевищує 1 вiдсоток вартостi активiв за даними останньої рiчної фiнансової звiтностi;</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-прийняття рiшення про обрання (замiну) депозитарної установи, яка надає акцiонерному товариству додатковi послуги, затвердження умов договору, що укладатиметься з нею, встановлення розмiру оплати її послуг;;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-надсилання оферти акцiонерам вiдповiдно до статей 65 - 651 Закону;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-вирiшення iнших питань, що належать до виключної компетенцiї наглядової ради згiдно iз Законом. </w:t>
            </w:r>
          </w:p>
        </w:tc>
      </w:tr>
      <w:tr w:rsidR="00BC418B" w:rsidRPr="0022070D">
        <w:trPr>
          <w:trHeight w:val="200"/>
        </w:trPr>
        <w:tc>
          <w:tcPr>
            <w:tcW w:w="5000" w:type="dxa"/>
            <w:gridSpan w:val="2"/>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lastRenderedPageBreak/>
              <w:t>Сiрополка Людмила Iванiвна</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2500" w:type="dxa"/>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Функціональні обов'язки члена наглядової ради</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rPr>
                <w:rFonts w:ascii="Times" w:eastAsia="Times" w:hAnsi="Times" w:cs="Times"/>
                <w:sz w:val="24"/>
                <w:szCs w:val="24"/>
              </w:rPr>
            </w:pPr>
          </w:p>
        </w:tc>
      </w:tr>
    </w:tbl>
    <w:p w:rsidR="00BC418B" w:rsidRPr="0022070D" w:rsidRDefault="00BC418B">
      <w:pPr>
        <w:widowControl w:val="0"/>
        <w:spacing w:after="0" w:line="240" w:lineRule="auto"/>
        <w:rPr>
          <w:rFonts w:ascii="Times" w:eastAsia="Times" w:hAnsi="Times" w:cs="Times"/>
          <w:sz w:val="24"/>
          <w:szCs w:val="24"/>
        </w:rPr>
      </w:pPr>
    </w:p>
    <w:tbl>
      <w:tblPr>
        <w:tblStyle w:val="af7"/>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7000"/>
      </w:tblGrid>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Чи проведені засідання наглядової ради, загальний опис прийнятих на них рішень; процедури, що застосовуються при прийнятті наглядовою радою рішень; визначення, як діяльність наглядової ради зумовила зміни у фінансово-господарській діяльності товариства</w:t>
            </w:r>
          </w:p>
        </w:tc>
        <w:tc>
          <w:tcPr>
            <w:tcW w:w="7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Протягом 2020 року вiдбулося 2 засiданя Наглядової ради Товариства. Прийнятi рiшення стосувалися: </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iнiцiювання проведення чергових загальних зборiв акцiонерiв, затвердження членiв лiчильної комiсiї, прийняття рiшень щодо затвердження порядку денного та бюлетенiв для голосування.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BC418B">
            <w:pPr>
              <w:widowControl w:val="0"/>
              <w:spacing w:after="0" w:line="240" w:lineRule="auto"/>
              <w:rPr>
                <w:rFonts w:ascii="Times" w:eastAsia="Times" w:hAnsi="Times" w:cs="Times"/>
                <w:sz w:val="24"/>
                <w:szCs w:val="24"/>
              </w:rPr>
            </w:pP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 xml:space="preserve">Комітети в складі наглядової ради </w:t>
      </w:r>
      <w:r w:rsidRPr="0022070D">
        <w:rPr>
          <w:rFonts w:ascii="Times" w:eastAsia="Times" w:hAnsi="Times" w:cs="Times"/>
          <w:sz w:val="24"/>
          <w:szCs w:val="24"/>
        </w:rPr>
        <w:t>(за наявності)</w:t>
      </w:r>
      <w:r w:rsidRPr="0022070D">
        <w:rPr>
          <w:rFonts w:ascii="Times" w:eastAsia="Times" w:hAnsi="Times" w:cs="Times"/>
          <w:b/>
          <w:sz w:val="24"/>
          <w:szCs w:val="24"/>
        </w:rPr>
        <w:t>?</w:t>
      </w:r>
    </w:p>
    <w:tbl>
      <w:tblPr>
        <w:tblStyle w:val="af8"/>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2000"/>
        <w:gridCol w:w="2000"/>
        <w:gridCol w:w="3000"/>
      </w:tblGrid>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3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Персональний склад комітетів</w:t>
            </w: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 питань аудиту</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3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 питань призначень</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3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 винагород</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3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(зазначити)</w:t>
            </w:r>
          </w:p>
        </w:tc>
        <w:tc>
          <w:tcPr>
            <w:tcW w:w="4000" w:type="dxa"/>
            <w:gridSpan w:val="2"/>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У складi Наглядової ради не створено комiтетiв </w:t>
            </w:r>
          </w:p>
        </w:tc>
        <w:tc>
          <w:tcPr>
            <w:tcW w:w="3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bl>
    <w:p w:rsidR="00BC418B" w:rsidRPr="0022070D" w:rsidRDefault="00BC418B">
      <w:pPr>
        <w:widowControl w:val="0"/>
        <w:spacing w:after="0" w:line="240" w:lineRule="auto"/>
        <w:rPr>
          <w:rFonts w:ascii="Times" w:eastAsia="Times" w:hAnsi="Times" w:cs="Times"/>
          <w:sz w:val="24"/>
          <w:szCs w:val="24"/>
        </w:rPr>
      </w:pPr>
    </w:p>
    <w:tbl>
      <w:tblPr>
        <w:tblStyle w:val="af9"/>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7000"/>
      </w:tblGrid>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Чи проведені засідання комітетів наглядової ради, загальний опис прийнятих на них рішень</w:t>
            </w:r>
          </w:p>
        </w:tc>
        <w:tc>
          <w:tcPr>
            <w:tcW w:w="7000" w:type="dxa"/>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rPr>
                <w:rFonts w:ascii="Times" w:eastAsia="Times" w:hAnsi="Times" w:cs="Times"/>
                <w:sz w:val="24"/>
                <w:szCs w:val="24"/>
              </w:rPr>
            </w:pP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У разі проведення оцінки роботи комітетів зазначається інформація щодо їх компетентності та ефективності</w:t>
            </w:r>
          </w:p>
        </w:tc>
        <w:tc>
          <w:tcPr>
            <w:tcW w:w="7000" w:type="dxa"/>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rPr>
                <w:rFonts w:ascii="Times" w:eastAsia="Times" w:hAnsi="Times" w:cs="Times"/>
                <w:sz w:val="24"/>
                <w:szCs w:val="24"/>
              </w:rPr>
            </w:pP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Інформація про діяльність наглядової ради та оцінка її роботи</w:t>
      </w:r>
    </w:p>
    <w:tbl>
      <w:tblPr>
        <w:tblStyle w:val="afa"/>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7000"/>
      </w:tblGrid>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Оцінка роботи наглядової ради</w:t>
            </w:r>
          </w:p>
        </w:tc>
        <w:tc>
          <w:tcPr>
            <w:tcW w:w="7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Звiт Наглядової ради затверджувався Загальними зборами акцiонерiв 27.04.2020, у зв'язку iз чим роботу Наглядової ради визнано задовiльною.</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Які з вимог до членів наглядової ради викладені у внутрішніх документах акціонерного товариства?</w:t>
      </w:r>
    </w:p>
    <w:tbl>
      <w:tblPr>
        <w:tblStyle w:val="afb"/>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7000"/>
        <w:gridCol w:w="1500"/>
        <w:gridCol w:w="1500"/>
      </w:tblGrid>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Галузеві знання і досвід роботи в галузі</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Знання у сфері фінансів і менеджменту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lastRenderedPageBreak/>
              <w:t>Особисті якості (чесність, відповідальність)</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Відсутність конфлікту інтересів</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Граничний вік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Відсутні будь-які вимоги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(зазначити)</w:t>
            </w:r>
          </w:p>
          <w:p w:rsidR="00BC418B" w:rsidRPr="0022070D" w:rsidRDefault="00BC418B">
            <w:pPr>
              <w:widowControl w:val="0"/>
              <w:spacing w:after="0" w:line="240" w:lineRule="auto"/>
              <w:rPr>
                <w:rFonts w:ascii="Times" w:eastAsia="Times" w:hAnsi="Times" w:cs="Times"/>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Коли останній раз обирався новий член наглядової ради, як він ознайомився зі своїми правами та обов'язками?</w:t>
      </w:r>
    </w:p>
    <w:tbl>
      <w:tblPr>
        <w:tblStyle w:val="afc"/>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40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Новий член наглядової ради самостійно ознайомився зі змістом внутрішніх документів акціонерного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Було проведено засідання наглядової ради, на якому нового члена наглядової ради ознайомили з його правами та обов'язками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Для нового члена наглядової ради було організовано спеціальне навчання (з корпоративного управління або фінансового менеджменту)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Усіх членів наглядової ради було переобрано на повторний строк або не було обрано нового члена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(зазначити)</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При обраннi нового члена наглядової ради його ознайомлюють зi змiстом внутрiшнiх документiв акцiонерного товариства. </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Як визначається розмір винагороди членів наглядової ради?</w:t>
      </w:r>
    </w:p>
    <w:tbl>
      <w:tblPr>
        <w:tblStyle w:val="afd"/>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40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Винагорода є фіксованою сумою</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Винагорода є відсотком від чистого прибутку або збільшення ринкової вартості акцій</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Винагорода виплачується у вигляді цінних паперів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Члени наглядової ради не отримують винагороди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(запишіть)</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rPr>
                <w:rFonts w:ascii="Times" w:eastAsia="Times" w:hAnsi="Times" w:cs="Times"/>
                <w:sz w:val="24"/>
                <w:szCs w:val="24"/>
              </w:rPr>
            </w:pP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Склад виконавчого органу</w:t>
      </w:r>
    </w:p>
    <w:p w:rsidR="00BC418B" w:rsidRPr="0022070D" w:rsidRDefault="00BC418B">
      <w:pPr>
        <w:widowControl w:val="0"/>
        <w:spacing w:after="0" w:line="240" w:lineRule="auto"/>
        <w:rPr>
          <w:rFonts w:ascii="Times" w:eastAsia="Times" w:hAnsi="Times" w:cs="Times"/>
          <w:sz w:val="24"/>
          <w:szCs w:val="24"/>
        </w:rPr>
      </w:pPr>
    </w:p>
    <w:tbl>
      <w:tblPr>
        <w:tblStyle w:val="afe"/>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7000"/>
      </w:tblGrid>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Персональний склад виконавчого органу</w:t>
            </w:r>
          </w:p>
        </w:tc>
        <w:tc>
          <w:tcPr>
            <w:tcW w:w="7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b/>
                <w:sz w:val="24"/>
                <w:szCs w:val="24"/>
              </w:rPr>
              <w:t>Функціональні обов'язки члена виконавчого органу</w:t>
            </w: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 Голова Правлiння, Головний бухгалтер - член Правлiння, Член Правлiння</w:t>
            </w:r>
          </w:p>
        </w:tc>
        <w:tc>
          <w:tcPr>
            <w:tcW w:w="7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Функцiональнi обов'язки Голови Правлiння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представляти iнтереси Товариства в установах, пiдприємствах, органiзацiях в Українi та за її межами, а також дiє вiд iменi та в iнтересах Товариства без доручення в межах своїх повноважень;</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уповноважений керувати поточними справами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забезпечувати виконання рiшень Загальних зборiв акцiонерiв Товариства; виступати вiд iменi Товариства в державних та судових органах та представляти Товариство в його стосунках з iншими юридичними та фiзичними особами;</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4) має право першого пiдпису на фiнансових документах;</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представляти Товариство в його стосунках з iншими юридичними та фiзичними особами;</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6) розподiляти обов'язки мiж членами Правлiння; 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компетенцiї вiдповiдно до положень Статуту;</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7) затверджувати штатний розпис та посадовi оклади спiвробiтникiв Товариства, встановлювати показники та розмiри премiювання працiвникiв Товариства, затверджувати положення про структурнi пiдроздiли Товариства та посадовi iнструкцiї, затверджувати правила внутрiшнього розпорядку;</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8) видавати накази i розпорядження обов'язковi для виконання всiма працiвниками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9) створювати органи, необхiднi для виконання цiлей та завдань Товариства; вести переговори, укладати угоди та контракти вiд iменi Товариства в межах України i за кордоном та видавати доручення про складання поточних угод;</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10) приймати на роботу та звiльняти працiвникiв Товариства, визначати граничну чисельнiсть персоналу;</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11) здiйснювати розподiл обов'язкiв мiж працiвниками та визначати їх повноваження при вирiшення питань дiяльностi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12) доручити рiшення окремих питань, якi належать до його компетенцiї, членам Правлiння або iншим працiвникам Товариства; в межах своїх повноважень розпоряджається вiд iменi та в iнтересах Товариства його майном, включаючи грошовi кошти;</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13) приймати рiшення про вiдрядження працiвникiв Товариства, включаючи вiдрядження за кордон;</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14) здiйснювати угоди, юридичнi акти, видавати доручення, вiдкривати в установах банкiв розрахунковi, валютнi та iншi рахунки;</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15) чинити iншi дiї, необхiднi для забезпечення керованостi та прибутковостi Товариства; виконувати iншi функцiї, якi необхiднi для забезпечення роботи Товариства, згiдно з чинним законодавством та внутрiшнiми документами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 Функцiональнi обов'язки Головного бухгалтера - члена Правлiння: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До повноважень, як головного бухгалтера, належить: органiзацiя i ведення бухгалтерського облiку на пiдприємствi.</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Обов'язками головного бухгалтера є забезпечення ведення бухоблiку, дотримуючись єдиних методологiчних засад, встановлених Законом України "Про бухгалтерський облiк та фiнансову звiтнiсть в Українi", з урахуванням особливостей дiяльностi пiдприємства i технологiї оброблення облiкових даних, органiзацiя контролю за вiдображенням на рахунках бухгалтерського облiку всiх господарських операцiй.</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Як член Правлiння виконує функцiї в межах своєї компетенцiї та несе вiдповiдальнiсть за стан роботи на вiдповiдних дiлянках дiяльностi.</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До виключної компетенцiї належить: органiзовує роботу Правлiння, органiзовує виконання рiшень загальних зборiв. скликає засiдання, забезпечує ведення протоколiв засiдань.</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Здiйснює повноваження Голови Правлiння, у разi неможливостi виконання ним своїх повноважень, за рiшенням Правлiння.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Функцiональнi обов'язки члена Правлiння: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член Правлiння виконує функцiї в межах своєї компетенцiї та несе вiдповiдальнiсть за стан роботи на вiдповiдних дiлянках дiяльностi.</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До компетенцiї Правлiння належать всi питання дiяльностi Товариства, крiм тих, що вiднесенi до компетенцiй iнших органiв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Порядок формування Правлiння, а також вимоги до кандидатiв та членiв Правлiння встановлюються у Положеннi про правлiння.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До виключної компетенцiї Правлiння належить:</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1) затвердження в межах своєї компетенцiї положень, якими регулюються питання, пов'язанi з дiяльнiстю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2) розробка проектiв рiчного бюджету, бiзнес-планiв, програм фiнансово-господарської дiяльностi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3) розробка та затвердження поточних фiнансово-господарських планiв i оперативних завдань Товариства та забезпечення їх реалiзацiї. Затвердження планiв роботи Правлiння;</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4) прийняття рiшень про укладення правочинiв на суму до 10 вiдсоткiв балансової вартостi активiв Товариства за даними останньої рiчної фiнансової звiтностi Товариства за попереднiм </w:t>
            </w:r>
            <w:r w:rsidRPr="0022070D">
              <w:rPr>
                <w:rFonts w:ascii="Times" w:eastAsia="Times" w:hAnsi="Times" w:cs="Times"/>
                <w:sz w:val="24"/>
                <w:szCs w:val="24"/>
              </w:rPr>
              <w:lastRenderedPageBreak/>
              <w:t>узгодженням з наглядовою радою;</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5) органiзацiя ведення бухгалтерського облiку та звiтностi Товариства, складання та надання наглядовiй радi квартальних та рiчник звiтiв Товариства до їх оприлюднення та (або) подання на розгляд загальних зборiв акцiонерiв;</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6) розробка штатного розкладу та затвердження правил внутрiшнього трудового розпорядку, посадових iнструкцiй та посадових окладiв працiвникiв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7) призначення керiвникiв фiлiй та представництв Товариства;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8) забезпечення проведення аудиторської перевiрки дiяльностi Товариства на вимогу акцiонерiв, якi володiють не менш як 10 вiдсотками акцiй Товариства. Аудиторська перевiрка повинна бути розпочата не пiзнiше як за 30 днiв з дати надання вiдповiдної вимоги акцiонерiв;</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9) укладення та виконання колективного договору, призначення та вiдкликання осiб, якi беруть участь у колективних переговорах як представники правлiння, за погодженням iз наглядовою радою.</w:t>
            </w:r>
          </w:p>
        </w:tc>
      </w:tr>
    </w:tbl>
    <w:p w:rsidR="00BC418B" w:rsidRPr="0022070D" w:rsidRDefault="00BC418B">
      <w:pPr>
        <w:widowControl w:val="0"/>
        <w:spacing w:after="0" w:line="240" w:lineRule="auto"/>
        <w:rPr>
          <w:rFonts w:ascii="Times" w:eastAsia="Times" w:hAnsi="Times" w:cs="Times"/>
          <w:sz w:val="24"/>
          <w:szCs w:val="24"/>
        </w:rPr>
      </w:pPr>
    </w:p>
    <w:tbl>
      <w:tblPr>
        <w:tblStyle w:val="aff"/>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7000"/>
      </w:tblGrid>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Чи проведені засідання виконавчого органу: загальний опис прийнятих на них рішень; інформація про результати роботи виконавчого органу; визначення, як діяльність виконавчого органу зумовила зміни у фінансово-господарській діяльності товариства</w:t>
            </w:r>
          </w:p>
        </w:tc>
        <w:tc>
          <w:tcPr>
            <w:tcW w:w="7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Всi рiшення Правлiння, прийнятi протягом 2020 року, стосувалися фiнансово-господарської дiяльностi Товариства. </w:t>
            </w:r>
          </w:p>
        </w:tc>
      </w:tr>
    </w:tbl>
    <w:p w:rsidR="00BC418B" w:rsidRPr="0022070D" w:rsidRDefault="00BC418B">
      <w:pPr>
        <w:widowControl w:val="0"/>
        <w:spacing w:after="0" w:line="240" w:lineRule="auto"/>
        <w:rPr>
          <w:rFonts w:ascii="Times" w:eastAsia="Times" w:hAnsi="Times" w:cs="Times"/>
          <w:sz w:val="24"/>
          <w:szCs w:val="24"/>
        </w:rPr>
      </w:pPr>
    </w:p>
    <w:tbl>
      <w:tblPr>
        <w:tblStyle w:val="aff0"/>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7000"/>
      </w:tblGrid>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Оцінка роботи виконавчого органу</w:t>
            </w:r>
          </w:p>
        </w:tc>
        <w:tc>
          <w:tcPr>
            <w:tcW w:w="7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Вiдповiдно до рiшення Загальних зборiв акцiонерiв вiд 28.04.21 Звiт правлiння за 2020 рiк затверджено, роботу Правлiння визнано задовiльною.</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Примітки</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д/н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5) опис основних характеристик систем внутрішнього контролю і управління ризиками емітента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Завдань та полiтики Товариства щодо управлiння фiнансовими ризиками немає. Наявнiсть своєчасної, достовiрної та вичерпної iнформацiї про Товариство є важливою умовою для здiйснення акцiонерами об'єктивної оцiнки фiнансово-економiчного стану компанiї. Внутрiшнiй  </w:t>
      </w:r>
      <w:r w:rsidRPr="0022070D">
        <w:rPr>
          <w:rFonts w:ascii="Times" w:eastAsia="Times" w:hAnsi="Times" w:cs="Times"/>
          <w:sz w:val="24"/>
          <w:szCs w:val="24"/>
        </w:rPr>
        <w:lastRenderedPageBreak/>
        <w:t>аудит проводиться у  рамках   чинного законодавства:</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здiйснюється нагляд за поточною дiяльнiстю компанiї</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 контролюється дотримання законiв та нормативно-правових актiв, виконання рiшень органiв управляння компанiєю. Товариством визначено вiдповiдального за ризик- менеджмент. Визначено функцiї та вiдповiдальнiсть спiвробiтника, вiдповiдального за управлiння ризиками. Було визначено завдання на поточний рiк та забезпечено виконання плану заходiв щодо управлiння ризиками. </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Чи створено у вашому акціонерному товаристві ревізійну комісію або введено посаду ревізора? (так, створено ревізійну комісію / так, введено посаду ревізора / ні)  </w:t>
      </w:r>
      <w:r w:rsidRPr="0022070D">
        <w:rPr>
          <w:rFonts w:ascii="Times" w:eastAsia="Times" w:hAnsi="Times" w:cs="Times"/>
          <w:sz w:val="24"/>
          <w:szCs w:val="24"/>
          <w:u w:val="single"/>
        </w:rPr>
        <w:t>ні</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Якщо в товаристві створено ревізійну комісію: </w:t>
      </w: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 xml:space="preserve">Кількість членів ревізійної комісії </w:t>
      </w:r>
      <w:r w:rsidRPr="0022070D">
        <w:rPr>
          <w:rFonts w:ascii="Times" w:eastAsia="Times" w:hAnsi="Times" w:cs="Times"/>
          <w:sz w:val="24"/>
          <w:szCs w:val="24"/>
          <w:u w:val="single"/>
        </w:rPr>
        <w:t>0</w:t>
      </w:r>
      <w:r w:rsidRPr="0022070D">
        <w:rPr>
          <w:rFonts w:ascii="Times" w:eastAsia="Times" w:hAnsi="Times" w:cs="Times"/>
          <w:b/>
          <w:sz w:val="24"/>
          <w:szCs w:val="24"/>
        </w:rPr>
        <w:t xml:space="preserve"> осіб.</w:t>
      </w: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Скільки разів на рік у середньому відбувалися засідання ревізійної комісії протягом останніх трьох років?  </w:t>
      </w:r>
      <w:r w:rsidRPr="0022070D">
        <w:rPr>
          <w:rFonts w:ascii="Times" w:eastAsia="Times" w:hAnsi="Times" w:cs="Times"/>
          <w:sz w:val="24"/>
          <w:szCs w:val="24"/>
          <w:u w:val="single"/>
        </w:rPr>
        <w:t>0</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Style w:val="aff1"/>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4884"/>
        <w:gridCol w:w="1057"/>
        <w:gridCol w:w="1232"/>
        <w:gridCol w:w="1155"/>
        <w:gridCol w:w="1672"/>
      </w:tblGrid>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Загальні збори акціонерів</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Наглядова рада</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Виконавчий орган</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Не належить до компетенції жодного органу</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Визначення основних напрямів діяльності (стратегії)</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Затвердження планів діяльності (бізнес-планів)</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Затвердження річного фінансового звіту, або балансу, або бюджету</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Обрання та припинення повноважень голови та членів виконавчого органу</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Обрання та припинення повноважень голови та членів наглядової ради</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Обрання та припинення повноважень голови та членів ревізійної комісії</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Визначення розміру винагороди для голови та членів виконавчого органу</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Визначення розміру винагороди для голови та членів наглядової ради</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Прийняття рішення про притягнення до майнової відповідальності членів виконавчого органу</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Прийняття рішення про додаткову емісію акцій</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Прийняття рішення про викуп, реалізацію та розміщення власних акцій</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Затвердження зовнішнього аудитора</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4884"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Затвердження договорів, щодо яких існує </w:t>
            </w:r>
            <w:r w:rsidRPr="0022070D">
              <w:rPr>
                <w:rFonts w:ascii="Times" w:eastAsia="Times" w:hAnsi="Times" w:cs="Times"/>
                <w:sz w:val="24"/>
                <w:szCs w:val="24"/>
              </w:rPr>
              <w:lastRenderedPageBreak/>
              <w:t>конфлікт інтересів</w:t>
            </w:r>
          </w:p>
        </w:tc>
        <w:tc>
          <w:tcPr>
            <w:tcW w:w="105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lastRenderedPageBreak/>
              <w:t>ні</w:t>
            </w:r>
          </w:p>
        </w:tc>
        <w:tc>
          <w:tcPr>
            <w:tcW w:w="123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15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67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Чи містить статут акціонерного товариства положення, яке обмежує повноваження виконавчого органу приймати рішення про укладення договорів, враховуючи їх суму, від імені акціонерного товариства? (так/ні)  </w:t>
      </w:r>
      <w:r w:rsidRPr="0022070D">
        <w:rPr>
          <w:rFonts w:ascii="Times" w:eastAsia="Times" w:hAnsi="Times" w:cs="Times"/>
          <w:sz w:val="24"/>
          <w:szCs w:val="24"/>
          <w:u w:val="single"/>
        </w:rPr>
        <w:t>так</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товариства?(так/ні)  </w:t>
      </w:r>
      <w:r w:rsidRPr="0022070D">
        <w:rPr>
          <w:rFonts w:ascii="Times" w:eastAsia="Times" w:hAnsi="Times" w:cs="Times"/>
          <w:sz w:val="24"/>
          <w:szCs w:val="24"/>
          <w:u w:val="single"/>
        </w:rPr>
        <w:t>так</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Які документи існують у вашому акціонерному товаристві?</w:t>
      </w:r>
    </w:p>
    <w:tbl>
      <w:tblPr>
        <w:tblStyle w:val="aff2"/>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00"/>
        <w:gridCol w:w="40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Положення про загальні збори акціонерів</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Положення про наглядову раду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Положення про виконавчий орган</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Положення про посадових осіб акціонерного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Положення про ревізійну комісію (або ревізора)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Положення про порядок розподілу прибутку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3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(запишіть)</w:t>
            </w:r>
          </w:p>
        </w:tc>
        <w:tc>
          <w:tcPr>
            <w:tcW w:w="7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Положення " Про iнформацiйну полiтику"; Положення "Кодекс корпоративного управлiння". </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Як акціонери можуть отримати інформацію про діяльність вашого акціонерного товариства?</w:t>
      </w:r>
    </w:p>
    <w:tbl>
      <w:tblPr>
        <w:tblStyle w:val="aff3"/>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00"/>
        <w:gridCol w:w="1500"/>
        <w:gridCol w:w="2000"/>
        <w:gridCol w:w="1500"/>
        <w:gridCol w:w="1000"/>
        <w:gridCol w:w="1500"/>
      </w:tblGrid>
      <w:tr w:rsidR="00BC418B" w:rsidRPr="0022070D">
        <w:trPr>
          <w:trHeight w:val="182"/>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Інформація про діяльність акціонерного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Інформація розповсюджується на загальних зборах</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Документи надаються для ознайомлення безпосередньо в акціонерному товаристві</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Копії документів надаються на запит акціонера</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Інформація розміщується на власному веб-сайті акціонерного товариства</w:t>
            </w:r>
          </w:p>
        </w:tc>
      </w:tr>
      <w:tr w:rsidR="00BC418B" w:rsidRPr="0022070D">
        <w:trPr>
          <w:trHeight w:val="182"/>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Фінансова звітність, результати діяльності</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r>
      <w:tr w:rsidR="00BC418B" w:rsidRPr="0022070D">
        <w:trPr>
          <w:trHeight w:val="182"/>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Інформація про акціонерів, які володіють 5 та більше відсотками </w:t>
            </w:r>
            <w:r w:rsidRPr="0022070D">
              <w:rPr>
                <w:rFonts w:ascii="Times" w:eastAsia="Times" w:hAnsi="Times" w:cs="Times"/>
                <w:sz w:val="24"/>
                <w:szCs w:val="24"/>
              </w:rPr>
              <w:lastRenderedPageBreak/>
              <w:t>голосуючих акцій</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lastRenderedPageBreak/>
              <w:t>ні</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r>
      <w:tr w:rsidR="00BC418B" w:rsidRPr="0022070D">
        <w:trPr>
          <w:trHeight w:val="182"/>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lastRenderedPageBreak/>
              <w:t>Інформація про склад органів управління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r>
      <w:tr w:rsidR="00BC418B" w:rsidRPr="0022070D">
        <w:trPr>
          <w:trHeight w:val="182"/>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Протоколи загальних зборів акціонерів після їх проведення</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r>
      <w:tr w:rsidR="00BC418B" w:rsidRPr="0022070D">
        <w:trPr>
          <w:trHeight w:val="182"/>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Розмір винагороди посадових осіб акціонерного товариства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b/>
          <w:sz w:val="24"/>
          <w:szCs w:val="24"/>
        </w:rPr>
        <w:t xml:space="preserve">Чи готує акціонерне товариство фінансову звітність у відповідності до міжнародних стандартів фінансової звітності? (так/ні)  </w:t>
      </w:r>
      <w:r w:rsidRPr="0022070D">
        <w:rPr>
          <w:rFonts w:ascii="Times" w:eastAsia="Times" w:hAnsi="Times" w:cs="Times"/>
          <w:sz w:val="24"/>
          <w:szCs w:val="24"/>
          <w:u w:val="single"/>
        </w:rPr>
        <w:t>ні</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Style w:val="aff4"/>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7000"/>
        <w:gridCol w:w="1500"/>
        <w:gridCol w:w="1500"/>
      </w:tblGrid>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Не проводились взагалі</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Раз на рік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Частіше ніж раз на рік</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Який орган приймав рішення про затвердження незалежного аудитора (аудиторської фірми)?</w:t>
      </w:r>
    </w:p>
    <w:tbl>
      <w:tblPr>
        <w:tblStyle w:val="aff5"/>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00"/>
        <w:gridCol w:w="45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Загальні збори акціонерів</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Наглядова рада</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(зазначити)</w:t>
            </w:r>
          </w:p>
        </w:tc>
        <w:tc>
          <w:tcPr>
            <w:tcW w:w="75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Рiшення про затвердження зовнiшнього аудитора приймає Наглядова рада Товариства. Вiдповiдно до ст.40 п.3 Закону України про цiннi папери та Фондовий ринок Приватне акцiонерне товариство не зобов'язано пiдтверджувати рiчну фiнансову звiтнiсть аудитором.</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З ініціативи якого органу ревізійна комісія (ревізор) проводила (проводив) перевірку востаннє?</w:t>
      </w:r>
    </w:p>
    <w:tbl>
      <w:tblPr>
        <w:tblStyle w:val="aff6"/>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500"/>
        <w:gridCol w:w="4500"/>
        <w:gridCol w:w="1500"/>
        <w:gridCol w:w="1500"/>
      </w:tblGrid>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b/>
                <w:sz w:val="24"/>
                <w:szCs w:val="24"/>
              </w:rPr>
            </w:pP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Так</w:t>
            </w: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Ні</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 власної ініціативи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 дорученням загальних зборів</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 дорученням наглядової ради</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За зверненням виконавчого органу</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7000" w:type="dxa"/>
            <w:gridSpan w:val="2"/>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На вимогу акціонерів, які в сукупності володіють понад та більше 10 відсотками голосуючих акцій</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sz w:val="24"/>
                <w:szCs w:val="24"/>
              </w:rPr>
            </w:pPr>
          </w:p>
        </w:tc>
        <w:tc>
          <w:tcPr>
            <w:tcW w:w="15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X</w:t>
            </w:r>
          </w:p>
        </w:tc>
      </w:tr>
      <w:tr w:rsidR="00BC418B" w:rsidRPr="0022070D">
        <w:trPr>
          <w:trHeight w:val="200"/>
        </w:trPr>
        <w:tc>
          <w:tcPr>
            <w:tcW w:w="250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Інше (зазначити)</w:t>
            </w:r>
          </w:p>
        </w:tc>
        <w:tc>
          <w:tcPr>
            <w:tcW w:w="75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4"/>
                <w:szCs w:val="24"/>
              </w:rPr>
            </w:pPr>
            <w:r w:rsidRPr="0022070D">
              <w:rPr>
                <w:rFonts w:ascii="Times" w:eastAsia="Times" w:hAnsi="Times" w:cs="Times"/>
                <w:sz w:val="24"/>
                <w:szCs w:val="24"/>
              </w:rPr>
              <w:t xml:space="preserve">У Товариства не створена Ревiзiйна комiсiя </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6) перелік осіб, які прямо або опосередковано є власниками значного пакета акцій емітента</w:t>
      </w:r>
    </w:p>
    <w:p w:rsidR="00BC418B" w:rsidRPr="0022070D" w:rsidRDefault="00BC418B">
      <w:pPr>
        <w:widowControl w:val="0"/>
        <w:spacing w:after="0" w:line="240" w:lineRule="auto"/>
        <w:rPr>
          <w:rFonts w:ascii="Times" w:eastAsia="Times" w:hAnsi="Times" w:cs="Times"/>
          <w:b/>
          <w:sz w:val="24"/>
          <w:szCs w:val="24"/>
        </w:rPr>
      </w:pPr>
    </w:p>
    <w:tbl>
      <w:tblPr>
        <w:tblStyle w:val="aff7"/>
        <w:tblW w:w="9892" w:type="dxa"/>
        <w:tblInd w:w="2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892"/>
        <w:gridCol w:w="4000"/>
        <w:gridCol w:w="3000"/>
        <w:gridCol w:w="2000"/>
      </w:tblGrid>
      <w:tr w:rsidR="00BC418B" w:rsidRPr="0022070D">
        <w:trPr>
          <w:trHeight w:val="200"/>
        </w:trPr>
        <w:tc>
          <w:tcPr>
            <w:tcW w:w="892"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 з/п</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 xml:space="preserve">Повне найменування юридичної особи - власника (власників) або прізвище, ім'я, по батькові (за </w:t>
            </w:r>
            <w:r w:rsidRPr="0022070D">
              <w:rPr>
                <w:rFonts w:ascii="Times" w:eastAsia="Times" w:hAnsi="Times" w:cs="Times"/>
                <w:b/>
                <w:sz w:val="24"/>
                <w:szCs w:val="24"/>
              </w:rPr>
              <w:lastRenderedPageBreak/>
              <w:t>наявності) фізичної особи - власника (власників) значного пакета акцій</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lastRenderedPageBreak/>
              <w:t xml:space="preserve">Ідентифікаційний код згідно з Єдиним державним реєстром </w:t>
            </w:r>
            <w:r w:rsidRPr="0022070D">
              <w:rPr>
                <w:rFonts w:ascii="Times" w:eastAsia="Times" w:hAnsi="Times" w:cs="Times"/>
                <w:b/>
                <w:sz w:val="24"/>
                <w:szCs w:val="24"/>
              </w:rPr>
              <w:lastRenderedPageBreak/>
              <w:t>юридичних осіб, фізичних осіб - підприємців та громадських формувань (для юридичної особи - резидента), код/номер з торговельного, банківського чи судового 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lastRenderedPageBreak/>
              <w:t xml:space="preserve">Розмір частки акціонера (власника) (у </w:t>
            </w:r>
            <w:r w:rsidRPr="0022070D">
              <w:rPr>
                <w:rFonts w:ascii="Times" w:eastAsia="Times" w:hAnsi="Times" w:cs="Times"/>
                <w:b/>
                <w:sz w:val="24"/>
                <w:szCs w:val="24"/>
              </w:rPr>
              <w:lastRenderedPageBreak/>
              <w:t>відсотках до статутного капіталу)</w:t>
            </w:r>
          </w:p>
        </w:tc>
      </w:tr>
      <w:tr w:rsidR="00BC418B" w:rsidRPr="0022070D">
        <w:trPr>
          <w:trHeight w:val="200"/>
        </w:trPr>
        <w:tc>
          <w:tcPr>
            <w:tcW w:w="89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lastRenderedPageBreak/>
              <w:t>1</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Приватне акцiонерне товариство "Енергоконструкцiя"</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31810081</w:t>
            </w:r>
          </w:p>
        </w:tc>
        <w:tc>
          <w:tcPr>
            <w:tcW w:w="2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67,5747</w:t>
            </w:r>
          </w:p>
        </w:tc>
      </w:tr>
      <w:tr w:rsidR="00BC418B" w:rsidRPr="0022070D">
        <w:trPr>
          <w:trHeight w:val="200"/>
        </w:trPr>
        <w:tc>
          <w:tcPr>
            <w:tcW w:w="89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2</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Фiзична особа (Згоди на розкриття персональних даних не надано)</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д/н</w:t>
            </w:r>
          </w:p>
        </w:tc>
        <w:tc>
          <w:tcPr>
            <w:tcW w:w="2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9,93</w:t>
            </w:r>
          </w:p>
        </w:tc>
      </w:tr>
      <w:tr w:rsidR="00BC418B" w:rsidRPr="0022070D">
        <w:trPr>
          <w:trHeight w:val="200"/>
        </w:trPr>
        <w:tc>
          <w:tcPr>
            <w:tcW w:w="89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3</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Фiзична особа (Згоди на розкриття персональних даних не надано)</w:t>
            </w:r>
          </w:p>
        </w:tc>
        <w:tc>
          <w:tcPr>
            <w:tcW w:w="3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д/н</w:t>
            </w:r>
          </w:p>
        </w:tc>
        <w:tc>
          <w:tcPr>
            <w:tcW w:w="2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9,32</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rPr>
          <w:rFonts w:ascii="Times" w:eastAsia="Times" w:hAnsi="Times" w:cs="Times"/>
          <w:b/>
          <w:sz w:val="24"/>
          <w:szCs w:val="24"/>
        </w:rPr>
      </w:pPr>
      <w:r w:rsidRPr="0022070D">
        <w:rPr>
          <w:rFonts w:ascii="Times" w:eastAsia="Times" w:hAnsi="Times" w:cs="Times"/>
          <w:b/>
          <w:sz w:val="24"/>
          <w:szCs w:val="24"/>
        </w:rPr>
        <w:t>7) інформація про будь-які обмеження прав участі та голосування акціонерів (учасників) на загальних зборах емітента</w:t>
      </w:r>
    </w:p>
    <w:p w:rsidR="00BC418B" w:rsidRPr="0022070D" w:rsidRDefault="00BC418B">
      <w:pPr>
        <w:widowControl w:val="0"/>
        <w:spacing w:after="0" w:line="240" w:lineRule="auto"/>
        <w:rPr>
          <w:rFonts w:ascii="Times" w:eastAsia="Times" w:hAnsi="Times" w:cs="Times"/>
          <w:b/>
          <w:sz w:val="24"/>
          <w:szCs w:val="24"/>
        </w:rPr>
      </w:pPr>
    </w:p>
    <w:tbl>
      <w:tblPr>
        <w:tblStyle w:val="aff8"/>
        <w:tblW w:w="9892" w:type="dxa"/>
        <w:tblInd w:w="2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892"/>
        <w:gridCol w:w="2000"/>
        <w:gridCol w:w="4000"/>
        <w:gridCol w:w="2000"/>
      </w:tblGrid>
      <w:tr w:rsidR="00BC418B" w:rsidRPr="0022070D">
        <w:trPr>
          <w:trHeight w:val="200"/>
        </w:trPr>
        <w:tc>
          <w:tcPr>
            <w:tcW w:w="1892"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Загальна кількість акцій</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Кількість акцій з обмеженнями</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Підстава виникнення обмеження</w:t>
            </w:r>
          </w:p>
        </w:tc>
        <w:tc>
          <w:tcPr>
            <w:tcW w:w="2000"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Дата виникнення обмеження</w:t>
            </w:r>
          </w:p>
        </w:tc>
      </w:tr>
      <w:tr w:rsidR="00BC418B" w:rsidRPr="0022070D">
        <w:trPr>
          <w:trHeight w:val="200"/>
        </w:trPr>
        <w:tc>
          <w:tcPr>
            <w:tcW w:w="189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79 700</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14 471</w:t>
            </w:r>
          </w:p>
        </w:tc>
        <w:tc>
          <w:tcPr>
            <w:tcW w:w="4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Пiдстава обмеження - невiдповiднiсть умовам облiку цiнних паперiв.</w:t>
            </w:r>
          </w:p>
        </w:tc>
        <w:tc>
          <w:tcPr>
            <w:tcW w:w="2000" w:type="dxa"/>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jc w:val="center"/>
              <w:rPr>
                <w:rFonts w:ascii="Times" w:eastAsia="Times" w:hAnsi="Times" w:cs="Times"/>
                <w:sz w:val="24"/>
                <w:szCs w:val="24"/>
              </w:rPr>
            </w:pPr>
          </w:p>
        </w:tc>
      </w:tr>
      <w:tr w:rsidR="00BC418B" w:rsidRPr="0022070D">
        <w:trPr>
          <w:trHeight w:val="200"/>
        </w:trPr>
        <w:tc>
          <w:tcPr>
            <w:tcW w:w="189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Опис</w:t>
            </w:r>
          </w:p>
        </w:tc>
        <w:tc>
          <w:tcPr>
            <w:tcW w:w="8000" w:type="dxa"/>
            <w:gridSpan w:val="3"/>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4"/>
                <w:szCs w:val="24"/>
              </w:rPr>
            </w:pPr>
            <w:r w:rsidRPr="0022070D">
              <w:rPr>
                <w:rFonts w:ascii="Times" w:eastAsia="Times" w:hAnsi="Times" w:cs="Times"/>
                <w:sz w:val="24"/>
                <w:szCs w:val="24"/>
              </w:rPr>
              <w:t>Обмеження прав участi та голосування акцiонерiв вiдповiдно до даних перелiку, наданого ПАТ "НДУ", дата виникнення обмежень не наводиться ПАТ "НДУ".</w:t>
            </w:r>
          </w:p>
        </w:tc>
      </w:tr>
    </w:tbl>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8) порядок призначення та звільнення посадових осіб емітента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Вiдповiдно до Статуту Товариства НАГЛЯДОВА РАДА обирається строком на три роки.  Дiяльнiсть Наглядової ради Товариства регулюється законодавством України, цим Статутом та Положенням "Про наглядову раду Приватного акцiонерного товариства "Ладижинський завод залiзобетонних конструкцiй".</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w:t>
      </w:r>
      <w:r w:rsidRPr="0022070D">
        <w:rPr>
          <w:rFonts w:ascii="Times" w:eastAsia="Times" w:hAnsi="Times" w:cs="Times"/>
          <w:sz w:val="24"/>
          <w:szCs w:val="24"/>
        </w:rPr>
        <w:tab/>
        <w:t xml:space="preserve">Члени наглядової ради Товариства обираються з числа фiзичних осiб, якi мають повну дiєздатнiсть.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7.59.2</w:t>
      </w:r>
      <w:r w:rsidRPr="0022070D">
        <w:rPr>
          <w:rFonts w:ascii="Times" w:eastAsia="Times" w:hAnsi="Times" w:cs="Times"/>
          <w:sz w:val="24"/>
          <w:szCs w:val="24"/>
        </w:rPr>
        <w:tab/>
        <w:t>До складу наглядової ради обираються акцiонери або особи, якi представляють їхнi iнтереси (далi - представники акцiонерiв), та/або незалежнi директори у разi прийняття загальними зборами Товариства рiшення про їх обрання.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7.59.3</w:t>
      </w:r>
      <w:r w:rsidRPr="0022070D">
        <w:rPr>
          <w:rFonts w:ascii="Times" w:eastAsia="Times" w:hAnsi="Times" w:cs="Times"/>
          <w:sz w:val="24"/>
          <w:szCs w:val="24"/>
        </w:rPr>
        <w:tab/>
        <w:t xml:space="preserve">Повноваження члена наглядової ради дiйснi з моменту його затвердження рiшенням загальних зборiв товариства.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7.59.4</w:t>
      </w:r>
      <w:r w:rsidRPr="0022070D">
        <w:rPr>
          <w:rFonts w:ascii="Times" w:eastAsia="Times" w:hAnsi="Times" w:cs="Times"/>
          <w:sz w:val="24"/>
          <w:szCs w:val="24"/>
        </w:rPr>
        <w:tab/>
        <w:t xml:space="preserve">Обрання членiв наглядової ради Товариства здiйснюється шляхом кумулятивного голосування.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lastRenderedPageBreak/>
        <w:t>7.59.5</w:t>
      </w:r>
      <w:r w:rsidRPr="0022070D">
        <w:rPr>
          <w:rFonts w:ascii="Times" w:eastAsia="Times" w:hAnsi="Times" w:cs="Times"/>
          <w:sz w:val="24"/>
          <w:szCs w:val="24"/>
        </w:rPr>
        <w:tab/>
        <w:t xml:space="preserve">Одна й та сама особа може обиратися до складу наглядової ради неодноразово.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7.59.6</w:t>
      </w:r>
      <w:r w:rsidRPr="0022070D">
        <w:rPr>
          <w:rFonts w:ascii="Times" w:eastAsia="Times" w:hAnsi="Times" w:cs="Times"/>
          <w:sz w:val="24"/>
          <w:szCs w:val="24"/>
        </w:rPr>
        <w:tab/>
        <w:t xml:space="preserve">Член наглядової ради не може бути одночасно членом виконавчого органу Товариства.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7.59.7</w:t>
      </w:r>
      <w:r w:rsidRPr="0022070D">
        <w:rPr>
          <w:rFonts w:ascii="Times" w:eastAsia="Times" w:hAnsi="Times" w:cs="Times"/>
          <w:sz w:val="24"/>
          <w:szCs w:val="24"/>
        </w:rPr>
        <w:tab/>
        <w:t xml:space="preserve">Кiлькiсний склад наглядової ради встановлюється загальними зборами.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7.59.8</w:t>
      </w:r>
      <w:r w:rsidRPr="0022070D">
        <w:rPr>
          <w:rFonts w:ascii="Times" w:eastAsia="Times" w:hAnsi="Times" w:cs="Times"/>
          <w:sz w:val="24"/>
          <w:szCs w:val="24"/>
        </w:rPr>
        <w:tab/>
        <w:t xml:space="preserve">Член наглядової ради здiйснює свої повноваження на пiдставi договору з товариством.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7.59.9</w:t>
      </w:r>
      <w:r w:rsidRPr="0022070D">
        <w:rPr>
          <w:rFonts w:ascii="Times" w:eastAsia="Times" w:hAnsi="Times" w:cs="Times"/>
          <w:sz w:val="24"/>
          <w:szCs w:val="24"/>
        </w:rPr>
        <w:tab/>
        <w:t xml:space="preserve">Вiд iменi Товариства  договiр пiдписує особа, уповноважена на те загальними зборами.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7.59.10</w:t>
      </w:r>
      <w:r w:rsidRPr="0022070D">
        <w:rPr>
          <w:rFonts w:ascii="Times" w:eastAsia="Times" w:hAnsi="Times" w:cs="Times"/>
          <w:sz w:val="24"/>
          <w:szCs w:val="24"/>
        </w:rPr>
        <w:tab/>
        <w:t xml:space="preserve">Голова наглядової ради Товариства обирається членами наглядової ради з їх числа простою бiльшiстю голосiв вiд кiлькiсного складу наглядової ради, якщо iнше не передбачено положенням про наглядову раду.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7.59.11</w:t>
      </w:r>
      <w:r w:rsidRPr="0022070D">
        <w:rPr>
          <w:rFonts w:ascii="Times" w:eastAsia="Times" w:hAnsi="Times" w:cs="Times"/>
          <w:sz w:val="24"/>
          <w:szCs w:val="24"/>
        </w:rPr>
        <w:tab/>
        <w:t xml:space="preserve">Наглядова рада має право в будь-який час переобрати голову наглядової ради. </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Вiдповiдно до Статуту Товариства ПРАВЛIННЯ Товариства обирається в складi 3 (трьох) осiб Наглядовою радою Товариства  строком на 5 рокiв, з правом продовження повноважень на новий термiн. На першому засiдання Правлiння, яке повинно бути скликане Правлiнням в термiн не пiзнiше 30 (тридцяти) календарних днiв з дати обрання Загальними зборами членiв Правлiння Товариства, обирається Голова Правлiння та здiйснюється розподiл обов'язкiв серед членiв Правлiння. </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Головний бухгалтер та виконуючий обов'язки призначається рiшенням (наказом) Голови правлiння.</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9) повноваження посадових осіб емітента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Повноваження голови Правлiння: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представляти iнтереси Товариства в установах, пiдприємствах, органiзацiях в Українi та за її межами, а також дiє вiд iменi та в iнтересах Товариства без доручення в межах своїх повноважень;</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уповноважений керувати поточними справами;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забезпечувати виконання  рiшень Загальних зборiв акцiонерiв Товариства та Наглядової ради;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виступати вiд iменi Товариства в державних та судових органах та представляти Товариство в його стосунках з iншими юридичними  та фiзичними особами;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має право першого пiдпису на фiнансових документах;</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розподiляти обов'язки мiж членами Правлiння;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-пiдписувати довiреностi, договори та iншi документи вiд iменi Товариства, рiшення про укладення (видачу) яких прийнято уповноваженим органом Товариства в межах його компетенцiї вiдповiдно до положень цього Статуту;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затверджувати штатний розпис та посадовi оклади спiвробiтникiв Товариства, встановлювати показники та розмiри премiювання працiвникiв Товариства, затверджувати положення про структурнi пiдроздiли Товариства та посадовi iнструкцiї, затверджувати правила внутрiшнього розпорядку;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видавати накази i розпорядження обов'язковi для виконання всiма працiвниками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створювати органи, необхiднi для виконання цiлей та завдань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вести переговори, укладати угоди та контракти вiд iменi Товариства в межах України  i за кордоном та видавати  доручення про складання поточних угод;</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приймати на роботу та звiльняти працiвникiв Товариства, визначати граничну чисельнiсть персоналу;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здiйснювати  розподiл обов'язкiв мiж працiвниками та визначати  їх повноваження при вирiшення питань дiяльностi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доручити рiшення окремих питань, якi належать до його компетенцiї, членам Правлiння або iншим працiвникам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в межах своїх повноважень розпоряджається вiд iменi та в iнтересах Товариства його майном, включаючи грошовi кошти;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приймати рiшення про вiдрядження працiвникiв Товариства, включаючи вiдрядження за </w:t>
      </w:r>
      <w:r w:rsidRPr="0022070D">
        <w:rPr>
          <w:rFonts w:ascii="Times" w:eastAsia="Times" w:hAnsi="Times" w:cs="Times"/>
          <w:sz w:val="24"/>
          <w:szCs w:val="24"/>
        </w:rPr>
        <w:lastRenderedPageBreak/>
        <w:t>кордон;</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здiйснювати угоди, юридичнi акти, видавати доручення, вiдкривати  в установах банкiв розрахунковi , валютнi та iншi рахунки;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чинити iншi дiї, необхiднi для забезпечення керованостi та прибутковостi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-виконувати  iншi функцiї,  якi необхiднi для забезпечення роботи Товариства, згiдно з чинним законодавством та внутрiшнiми документами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Члени Правлiння приймають участь участь у засiданнях Правлiння при прийняттi колегiальних рiшень Правлiнням. Виконують завдання згiдно iз визначеними згiдно розподiлу повноваженнями.</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Повноваження Наглядової ради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7.59.12</w:t>
      </w:r>
      <w:r w:rsidRPr="0022070D">
        <w:rPr>
          <w:rFonts w:ascii="Times" w:eastAsia="Times" w:hAnsi="Times" w:cs="Times"/>
          <w:sz w:val="24"/>
          <w:szCs w:val="24"/>
        </w:rPr>
        <w:tab/>
        <w:t xml:space="preserve">Голова наглядової ради органiзовує її роботу, скликає засiдання наглядової ради та головує на них, вiдкриває загальнi збори, органiзовує обрання секретаря загальних зборiв, здiйснює iншi повноваження, передбаченi статутом та положенням про наглядову раду.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7.59.13</w:t>
      </w:r>
      <w:r w:rsidRPr="0022070D">
        <w:rPr>
          <w:rFonts w:ascii="Times" w:eastAsia="Times" w:hAnsi="Times" w:cs="Times"/>
          <w:sz w:val="24"/>
          <w:szCs w:val="24"/>
        </w:rPr>
        <w:tab/>
        <w:t xml:space="preserve">У разi неможливостi виконання головою наглядової ради своїх повноважень його повноваження здiйснює один iз членiв наглядової ради за її рiшенням, якщо iнше не передбачено положенням про наглядову раду Товариства .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7.59.14</w:t>
      </w:r>
      <w:r w:rsidRPr="0022070D">
        <w:rPr>
          <w:rFonts w:ascii="Times" w:eastAsia="Times" w:hAnsi="Times" w:cs="Times"/>
          <w:sz w:val="24"/>
          <w:szCs w:val="24"/>
        </w:rPr>
        <w:tab/>
        <w:t>Член наглядової ради повинен виконувати свої обов'язки особисто i не може передавати власнi повноваження iншiй особi.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7.59.15</w:t>
      </w:r>
      <w:r w:rsidRPr="0022070D">
        <w:rPr>
          <w:rFonts w:ascii="Times" w:eastAsia="Times" w:hAnsi="Times" w:cs="Times"/>
          <w:sz w:val="24"/>
          <w:szCs w:val="24"/>
        </w:rPr>
        <w:tab/>
        <w:t>До компетенцiї наглядової ради належить вирiшення питань, передбачених Законом "Про акцiонернi товариства", статутом, а також переданих на вирiшення наглядової ради загальними зборами.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7.59.16</w:t>
      </w:r>
      <w:r w:rsidRPr="0022070D">
        <w:rPr>
          <w:rFonts w:ascii="Times" w:eastAsia="Times" w:hAnsi="Times" w:cs="Times"/>
          <w:sz w:val="24"/>
          <w:szCs w:val="24"/>
        </w:rPr>
        <w:tab/>
        <w:t xml:space="preserve">До виключної компетенцiї наглядової ради належить: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затвердження в межах своєї компетенцiї положень, якими регулюються питання, пов'язанi з фiнансово-господарською дiяльнiстю товариства;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затвердження звiту про винагороду членiв виконавчого органу акцiонерного товариства, вимоги до якого встановлюються Нацiональною комiсiєю з цiнних паперiв та фондового ринку;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проведення чергових та позачергових загальних зборiв на вимогу акцiонерiв або за пропозицiєю виконавчого органу та у випадках, встановлених Законом;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формування тимчасової лiчильної комiсiї у разi скликання загальних зборiв акцiонерiв;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затвердження форми i тексту бюлетенiв для голосування;</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продаж ранiше викуплених товариством акцiй;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розмiщення товариством iнших цiнних паперiв, крiм акцiй;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викуп розмiщених товариством iнших, крiм акцiй, цiнних паперiв;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затвердження ринкової вартостi майна у випадках, передбачених Законом "Про акцiонернi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обрання та вiдкликання повноважень голови i членiв виконавчого органу;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затвердження умов цивiльно-правових, трудових договорiв, якi укладатимуться з членами виконавчого органу, встановлення розмiру їх винагороди;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вiдсторонення голови виконавчого органу вiд виконання його повноважень та обрання особи, яка тимчасово здiйснюватиме повноваження голови виконавчого органу;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обрання та припинення повноважень голови i членiв iнших органiв товариства;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призначення i звiльнення керiвника пiдроздiлу внутрiшнього аудиту (внутрiшнього аудитора);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затвердження умов трудових договорiв, що укладаються з працiвниками пiдроздiлу внутрiшнього аудиту (з внутрiшнiм аудитором), встановлення розмiру їхньої винагороди, у тому числi заохочувальних та компенсацiйних виплат;</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здiйснення контролю за своєчаснiстю надання (опублiкування) товариством достовiрної </w:t>
      </w:r>
      <w:r w:rsidRPr="0022070D">
        <w:rPr>
          <w:rFonts w:ascii="Times" w:eastAsia="Times" w:hAnsi="Times" w:cs="Times"/>
          <w:sz w:val="24"/>
          <w:szCs w:val="24"/>
        </w:rPr>
        <w:lastRenderedPageBreak/>
        <w:t>iнформацiї про його дiяльнiсть вiдповiдно до законодавства, опублiкування товариством iнформацiї про принципи (кодекс) корпоративного управлiння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розгляд звiту виконавчого органу та затвердження заходiв за результатами його розгляду у разi вiднесення статутом товариства питання про призначення та звiльнення голови та членiв виконавчого органу до виключної компетенцiї наглядової ради;</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обрання реєстрацiйної комiсiї, за винятком випадкiв, встановлених чинним законодавством;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обрання аудитора (аудиторської фiрми) Товариства  для проведення аудиторської перевiрки за результатами поточного та/або минулого (минулих) року (рокiв) та визначення умов договору, що укладатиметься з таким аудитором (аудиторською фiрмою), встановлення розмiру оплати його (її) послуг;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затвердження рекомендацiй загальним зборам за результатами розгляду висновку зовнiшнього незалежного аудитора (аудиторської фiрми) товариства для прийняття рiшення щодо нього;</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визначення дати складення перелiку осiб, якi мають право на отримання дивiдендiв, порядку та строкiв виплати дивiдендiв у межах граничного строку, визначеного законодавством;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визначення дати складення перелiку акцiонерiв, якi мають бути повiдомленi про проведення загальних зборiв вiдповiдно до частини першої статтi 35 Закону та мають право на участь у загальних зборах вiдповiдно до статтi 34 Закону;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вирiшення питань про участь Товариства  у промислово-фiнансових групах та iнших об'єднаннях, про заснування iнших юридичних осiб;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вирiшення питань про створення, реорганiзацiю та/або лiквiдацiю структурних та/або вiдокремлених пiдроздiлiв товариства;</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вчинення значних правочинiв у випадках, якщо ринкова вартiсть майна або послуг, що є його предметом, становить вiд 10 до 25 вiдсоткiв вартостi активiв за даними останньої рiчної фiнансової звiтностi;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прийняття рiшення про надання згоди на вчинення правочину, щодо вчинення якого є заiнтересованiсть (далi - правочин iз заiнтересованiстю), якщо ринкова вартiсть майна або послуг чи сума коштiв, що є предметом правочину iз заiнтересованiстю, перевищує 1 вiдсоток вартостi активiв за даними останньої рiчної фiнансової звiтностi;</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обрання оцiнювача майна Товариства  та затвердження умов договору, що укладатиметься з ним, встановлення розмiру оплати його послуг;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прийняття рiшення про обрання (замiну) депозитарної установи, яка надає акцiонерному товариству додатковi послуги, затвердження умов договору, що укладатиметься з нею, встановлення розмiру оплати її послуг;;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надсилання оферти акцiонерам вiдповiдно до статей 65 - 651 Закону;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 вирiшення iнших питань, що належать до виключної компетенцiї наглядової ради згiдно iз Законом. </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Головний бухгалтер Товариства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-органiзує фiнансово-економiчну роботу,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-забезпечує дотримання на пiдприємствi встановлених єдиних методологiчних принципiв бухгалтерського облiку, упорядкування i надання у встановленi термiни фiнансової звiтностi на основi бухгалтерського облiку з допомогою журнальної форми облiку.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-контролює проведення звiтностi та фiнансово-економiчного аналiзу у Товариствi,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 xml:space="preserve">-здiйснює контроль за збереженням та ефективним використанням майна Товариства, </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-у межах своєї компетенцiї та делегованих йому повноважень чинить дiї вiд iменi Товариства.</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 xml:space="preserve">10) Висловлення думки аудитора (аудиторської фірми) щодо інформації, зазначеної у підпунктах 5-9 цього пункту, а також перевірки інформації, зазначеної в підпунктах 1-4 </w:t>
      </w:r>
      <w:r w:rsidRPr="0022070D">
        <w:rPr>
          <w:rFonts w:ascii="Times" w:eastAsia="Times" w:hAnsi="Times" w:cs="Times"/>
          <w:b/>
          <w:sz w:val="24"/>
          <w:szCs w:val="24"/>
        </w:rPr>
        <w:lastRenderedPageBreak/>
        <w:t>цього пункту</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Товариством не приймалося рiшення щодо залучення аудитора до перевiрки звiту про корпоративне управлiння.</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b/>
          <w:sz w:val="24"/>
          <w:szCs w:val="24"/>
        </w:rPr>
        <w:t>11) Інформація, передбачена Законом України "Про фінансові послуги та державне регулювання ринку фінансових послуг" (для фінансових установ)</w:t>
      </w:r>
    </w:p>
    <w:p w:rsidR="00BC418B" w:rsidRPr="0022070D"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Товариство не є фiнансовою установою.</w:t>
      </w:r>
    </w:p>
    <w:p w:rsidR="00BC418B" w:rsidRPr="0022070D" w:rsidRDefault="00BC418B">
      <w:pPr>
        <w:widowControl w:val="0"/>
        <w:spacing w:after="0" w:line="240" w:lineRule="auto"/>
        <w:jc w:val="both"/>
        <w:rPr>
          <w:rFonts w:ascii="Times" w:eastAsia="Times" w:hAnsi="Times" w:cs="Times"/>
          <w:sz w:val="24"/>
          <w:szCs w:val="24"/>
        </w:rPr>
      </w:pPr>
    </w:p>
    <w:p w:rsidR="00BC418B" w:rsidRPr="0022070D" w:rsidRDefault="00BC418B">
      <w:pPr>
        <w:widowControl w:val="0"/>
        <w:spacing w:after="0" w:line="240" w:lineRule="auto"/>
        <w:rPr>
          <w:rFonts w:ascii="Times" w:eastAsia="Times" w:hAnsi="Times" w:cs="Times"/>
          <w:sz w:val="24"/>
          <w:szCs w:val="24"/>
        </w:rPr>
        <w:sectPr w:rsidR="00BC418B" w:rsidRPr="0022070D">
          <w:pgSz w:w="12240" w:h="15840"/>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lastRenderedPageBreak/>
        <w:t>VIII. Інформація про осіб, що володіють 5 і більше відсотками акцій емітента</w:t>
      </w:r>
    </w:p>
    <w:tbl>
      <w:tblPr>
        <w:tblStyle w:val="aff9"/>
        <w:tblW w:w="14541" w:type="dxa"/>
        <w:tblInd w:w="-39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300"/>
        <w:gridCol w:w="1400"/>
        <w:gridCol w:w="2300"/>
        <w:gridCol w:w="2000"/>
        <w:gridCol w:w="2000"/>
        <w:gridCol w:w="2000"/>
        <w:gridCol w:w="1541"/>
      </w:tblGrid>
      <w:tr w:rsidR="00BC418B" w:rsidRPr="0022070D" w:rsidTr="00686DA4">
        <w:trPr>
          <w:trHeight w:val="200"/>
        </w:trPr>
        <w:tc>
          <w:tcPr>
            <w:tcW w:w="3300"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Найменування юридичної особи</w:t>
            </w:r>
          </w:p>
        </w:tc>
        <w:tc>
          <w:tcPr>
            <w:tcW w:w="14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Ідентифікаційний код юридичної особи</w:t>
            </w:r>
          </w:p>
        </w:tc>
        <w:tc>
          <w:tcPr>
            <w:tcW w:w="23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Місцезнаходження</w:t>
            </w:r>
          </w:p>
        </w:tc>
        <w:tc>
          <w:tcPr>
            <w:tcW w:w="20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Кількість акцій (шт.)</w:t>
            </w:r>
          </w:p>
        </w:tc>
        <w:tc>
          <w:tcPr>
            <w:tcW w:w="20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Від загальної кількості акцій (у відсотках)</w:t>
            </w:r>
          </w:p>
        </w:tc>
        <w:tc>
          <w:tcPr>
            <w:tcW w:w="3541"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Кількість за видами акцій</w:t>
            </w:r>
          </w:p>
        </w:tc>
      </w:tr>
      <w:tr w:rsidR="00BC418B" w:rsidRPr="0022070D" w:rsidTr="00686DA4">
        <w:trPr>
          <w:trHeight w:val="200"/>
        </w:trPr>
        <w:tc>
          <w:tcPr>
            <w:tcW w:w="3300"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14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3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0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0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Прості іменні</w:t>
            </w:r>
          </w:p>
        </w:tc>
        <w:tc>
          <w:tcPr>
            <w:tcW w:w="1541"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b/>
              </w:rPr>
              <w:t>Привілейовані іменні</w:t>
            </w:r>
          </w:p>
        </w:tc>
      </w:tr>
      <w:tr w:rsidR="00BC418B" w:rsidRPr="0022070D" w:rsidTr="00686DA4">
        <w:trPr>
          <w:trHeight w:val="200"/>
        </w:trPr>
        <w:tc>
          <w:tcPr>
            <w:tcW w:w="33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ПрАТ "Енергоконструкцiя"</w:t>
            </w:r>
          </w:p>
        </w:tc>
        <w:tc>
          <w:tcPr>
            <w:tcW w:w="1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31810081</w:t>
            </w:r>
          </w:p>
        </w:tc>
        <w:tc>
          <w:tcPr>
            <w:tcW w:w="23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08130, Україна, Київська обл., Києво-Святошинський р-н р-н, с.Чайки, вул. Лобановського, буд.21/5оф.кв.2</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53 857</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67,5747</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53 857</w:t>
            </w:r>
          </w:p>
        </w:tc>
        <w:tc>
          <w:tcPr>
            <w:tcW w:w="1541"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rsidTr="00686DA4">
        <w:trPr>
          <w:trHeight w:val="200"/>
        </w:trPr>
        <w:tc>
          <w:tcPr>
            <w:tcW w:w="7000" w:type="dxa"/>
            <w:gridSpan w:val="3"/>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Прізвище, ім'я, по батькові (за наявності) фізичної особи</w:t>
            </w:r>
          </w:p>
        </w:tc>
        <w:tc>
          <w:tcPr>
            <w:tcW w:w="20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Кількість акцій (шт.)</w:t>
            </w:r>
          </w:p>
        </w:tc>
        <w:tc>
          <w:tcPr>
            <w:tcW w:w="20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Від загальної кількості акцій (у відсотках)</w:t>
            </w:r>
          </w:p>
        </w:tc>
        <w:tc>
          <w:tcPr>
            <w:tcW w:w="3541"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Кількість за типами акцій</w:t>
            </w:r>
          </w:p>
        </w:tc>
      </w:tr>
      <w:tr w:rsidR="00BC418B" w:rsidRPr="0022070D" w:rsidTr="00686DA4">
        <w:trPr>
          <w:trHeight w:val="200"/>
        </w:trPr>
        <w:tc>
          <w:tcPr>
            <w:tcW w:w="7000" w:type="dxa"/>
            <w:gridSpan w:val="3"/>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0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0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Прості іменні</w:t>
            </w:r>
          </w:p>
        </w:tc>
        <w:tc>
          <w:tcPr>
            <w:tcW w:w="1541"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b/>
              </w:rPr>
              <w:t>Привілейовані іменні</w:t>
            </w:r>
          </w:p>
        </w:tc>
      </w:tr>
      <w:tr w:rsidR="00BC418B" w:rsidRPr="0022070D" w:rsidTr="00686DA4">
        <w:trPr>
          <w:trHeight w:val="200"/>
        </w:trPr>
        <w:tc>
          <w:tcPr>
            <w:tcW w:w="7000" w:type="dxa"/>
            <w:gridSpan w:val="3"/>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Згоди не надано</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7 917</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9,93</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7 917</w:t>
            </w:r>
          </w:p>
        </w:tc>
        <w:tc>
          <w:tcPr>
            <w:tcW w:w="1541"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rsidTr="00686DA4">
        <w:trPr>
          <w:trHeight w:val="200"/>
        </w:trPr>
        <w:tc>
          <w:tcPr>
            <w:tcW w:w="7000" w:type="dxa"/>
            <w:gridSpan w:val="3"/>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Згоди не надано</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7 430</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9,32</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7 430</w:t>
            </w:r>
          </w:p>
        </w:tc>
        <w:tc>
          <w:tcPr>
            <w:tcW w:w="1541"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rsidTr="00686DA4">
        <w:trPr>
          <w:trHeight w:val="200"/>
        </w:trPr>
        <w:tc>
          <w:tcPr>
            <w:tcW w:w="7000" w:type="dxa"/>
            <w:gridSpan w:val="3"/>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right"/>
              <w:rPr>
                <w:rFonts w:ascii="Times" w:eastAsia="Times" w:hAnsi="Times" w:cs="Times"/>
                <w:b/>
              </w:rPr>
            </w:pPr>
            <w:r w:rsidRPr="0022070D">
              <w:rPr>
                <w:rFonts w:ascii="Times" w:eastAsia="Times" w:hAnsi="Times" w:cs="Times"/>
                <w:b/>
              </w:rPr>
              <w:t>Усього</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69 204</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86,8247</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69 204</w:t>
            </w:r>
          </w:p>
        </w:tc>
        <w:tc>
          <w:tcPr>
            <w:tcW w:w="1541"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bl>
    <w:p w:rsidR="00BC418B" w:rsidRPr="0022070D" w:rsidRDefault="00BC418B">
      <w:pPr>
        <w:widowControl w:val="0"/>
        <w:spacing w:after="0" w:line="240" w:lineRule="auto"/>
        <w:rPr>
          <w:rFonts w:ascii="Times" w:eastAsia="Times" w:hAnsi="Times" w:cs="Times"/>
        </w:rPr>
        <w:sectPr w:rsidR="00BC418B" w:rsidRPr="0022070D">
          <w:pgSz w:w="15840" w:h="12240" w:orient="landscape"/>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lastRenderedPageBreak/>
        <w:t>X. Структура капіталу</w:t>
      </w:r>
    </w:p>
    <w:p w:rsidR="00BC418B" w:rsidRPr="0022070D" w:rsidRDefault="00BC418B">
      <w:pPr>
        <w:widowControl w:val="0"/>
        <w:spacing w:after="0" w:line="240" w:lineRule="auto"/>
        <w:jc w:val="center"/>
        <w:rPr>
          <w:rFonts w:ascii="Times" w:eastAsia="Times" w:hAnsi="Times" w:cs="Times"/>
          <w:b/>
          <w:sz w:val="28"/>
          <w:szCs w:val="28"/>
        </w:rPr>
      </w:pPr>
    </w:p>
    <w:tbl>
      <w:tblPr>
        <w:tblStyle w:val="affa"/>
        <w:tblW w:w="14361" w:type="dxa"/>
        <w:tblInd w:w="-354"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2462"/>
        <w:gridCol w:w="2000"/>
        <w:gridCol w:w="2000"/>
        <w:gridCol w:w="5000"/>
        <w:gridCol w:w="2899"/>
      </w:tblGrid>
      <w:tr w:rsidR="00BC418B" w:rsidRPr="0022070D" w:rsidTr="00686DA4">
        <w:trPr>
          <w:trHeight w:val="300"/>
        </w:trPr>
        <w:tc>
          <w:tcPr>
            <w:tcW w:w="2462"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Тип та/або клас акцій</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Кількість акцій (шт.)</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Номінальна вартість (грн)</w:t>
            </w:r>
          </w:p>
        </w:tc>
        <w:tc>
          <w:tcPr>
            <w:tcW w:w="50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Права та обов'язки</w:t>
            </w:r>
          </w:p>
        </w:tc>
        <w:tc>
          <w:tcPr>
            <w:tcW w:w="2899"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Наявність публічної пропозиції та/або допуску до торгів на фондовій біржі в частині включення до біржового реєстру</w:t>
            </w:r>
          </w:p>
        </w:tc>
      </w:tr>
      <w:tr w:rsidR="00BC418B" w:rsidRPr="0022070D" w:rsidTr="00686DA4">
        <w:trPr>
          <w:trHeight w:val="300"/>
        </w:trPr>
        <w:tc>
          <w:tcPr>
            <w:tcW w:w="246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Акцiя проста бездокументарна iменна</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79 700</w:t>
            </w:r>
          </w:p>
        </w:tc>
        <w:tc>
          <w:tcPr>
            <w:tcW w:w="2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8,72</w:t>
            </w:r>
          </w:p>
        </w:tc>
        <w:tc>
          <w:tcPr>
            <w:tcW w:w="50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Права: 1. Кожною простою акцiєю Товариства її власнику-акцiонеру надається однакова сукупнiсть прав. 2. Одна проста акцiя товариства надає акцiонеру один голос для вирiшення кожного питання на Загальних зборах. 3. Акцiонер Товариства  має переважне право на придбання акцiй, що продаються iншими акцiонерами цього Товариства. 4. Не пiзнiше нiж за 30 днiв до початку розмiщення акцiй з наданням акцiонерам переважного права, Товариство письмово повiдомляє кожного акцiонера, який має таке право, про можливiсть його реалiзацiї.</w:t>
            </w:r>
          </w:p>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 xml:space="preserve">Обов'язки: 1.Дотримуватися статуту, iнших внутрiшнiх документiв Товариства; </w:t>
            </w:r>
          </w:p>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 xml:space="preserve">2. Виконувати рiшення Загальних зборiв, iнших органiв Товариства; </w:t>
            </w:r>
          </w:p>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 xml:space="preserve">3. Виконувати свої зобов'язання перед Товариством, у тому числi пов'язанi з майновою участю; </w:t>
            </w:r>
          </w:p>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 xml:space="preserve">4. Оплачувати акцiї у розмiрi, в порядку та засобами, що передбаченi статутом Товариства; </w:t>
            </w:r>
          </w:p>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 xml:space="preserve">5. Не розголошувати комерцiйну таємницю та конфiденцiйну iнформацiю про дiяльнiсть Товариства. </w:t>
            </w:r>
          </w:p>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 xml:space="preserve">6. Акцiонери Товариства вправi укласти  мiж  собою договiр, за яким на акцiонерiв покладаються додатковi обов'язки, у тому числi обов'язок участi у Загальних зборах, i передбачається вiдповiдальнiсть за його порушення. </w:t>
            </w:r>
          </w:p>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 xml:space="preserve">7.  Акцiонери можуть також мати iншi обов'язки, встановленi чинним законодавством.  </w:t>
            </w:r>
          </w:p>
        </w:tc>
        <w:tc>
          <w:tcPr>
            <w:tcW w:w="2899"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sz w:val="20"/>
                <w:szCs w:val="20"/>
              </w:rPr>
            </w:pPr>
            <w:r w:rsidRPr="0022070D">
              <w:rPr>
                <w:rFonts w:ascii="Times" w:eastAsia="Times" w:hAnsi="Times" w:cs="Times"/>
                <w:sz w:val="20"/>
                <w:szCs w:val="20"/>
              </w:rPr>
              <w:t>Акцiї Товариства не допускались до торгiв на фондовiй бiржi та не включались до бiржового реєстру.</w:t>
            </w:r>
          </w:p>
        </w:tc>
      </w:tr>
      <w:tr w:rsidR="00BC418B" w:rsidRPr="0022070D" w:rsidTr="00686DA4">
        <w:trPr>
          <w:trHeight w:val="300"/>
        </w:trPr>
        <w:tc>
          <w:tcPr>
            <w:tcW w:w="14361" w:type="dxa"/>
            <w:gridSpan w:val="5"/>
            <w:tcBorders>
              <w:top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b/>
                <w:sz w:val="20"/>
                <w:szCs w:val="20"/>
              </w:rPr>
            </w:pPr>
            <w:r w:rsidRPr="0022070D">
              <w:rPr>
                <w:rFonts w:ascii="Times" w:eastAsia="Times" w:hAnsi="Times" w:cs="Times"/>
                <w:b/>
                <w:sz w:val="20"/>
                <w:szCs w:val="20"/>
              </w:rPr>
              <w:t>Примітки:</w:t>
            </w:r>
          </w:p>
        </w:tc>
      </w:tr>
      <w:tr w:rsidR="00BC418B" w:rsidRPr="0022070D" w:rsidTr="00686DA4">
        <w:trPr>
          <w:trHeight w:val="300"/>
        </w:trPr>
        <w:tc>
          <w:tcPr>
            <w:tcW w:w="14361" w:type="dxa"/>
            <w:gridSpan w:val="5"/>
            <w:tcBorders>
              <w:top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both"/>
              <w:rPr>
                <w:rFonts w:ascii="Times" w:eastAsia="Times" w:hAnsi="Times" w:cs="Times"/>
                <w:sz w:val="20"/>
                <w:szCs w:val="20"/>
              </w:rPr>
            </w:pPr>
            <w:r w:rsidRPr="0022070D">
              <w:rPr>
                <w:rFonts w:ascii="Times" w:eastAsia="Times" w:hAnsi="Times" w:cs="Times"/>
                <w:sz w:val="20"/>
                <w:szCs w:val="20"/>
              </w:rPr>
              <w:t>д/н</w:t>
            </w:r>
          </w:p>
        </w:tc>
      </w:tr>
    </w:tbl>
    <w:p w:rsidR="00BC418B" w:rsidRPr="0022070D" w:rsidRDefault="00BC418B">
      <w:pPr>
        <w:widowControl w:val="0"/>
        <w:spacing w:after="0" w:line="240" w:lineRule="auto"/>
        <w:rPr>
          <w:rFonts w:ascii="Times" w:eastAsia="Times" w:hAnsi="Times" w:cs="Times"/>
          <w:sz w:val="20"/>
          <w:szCs w:val="20"/>
        </w:rPr>
        <w:sectPr w:rsidR="00BC418B" w:rsidRPr="0022070D">
          <w:pgSz w:w="15840" w:h="12240" w:orient="landscape"/>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lastRenderedPageBreak/>
        <w:t>XI. Відомості про цінні папери емітента</w:t>
      </w: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t>1. Інформація про випуски акцій емітента</w:t>
      </w:r>
    </w:p>
    <w:tbl>
      <w:tblPr>
        <w:tblStyle w:val="affb"/>
        <w:tblW w:w="14399" w:type="dxa"/>
        <w:tblInd w:w="-392"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250"/>
        <w:gridCol w:w="1350"/>
        <w:gridCol w:w="2400"/>
        <w:gridCol w:w="1700"/>
        <w:gridCol w:w="1500"/>
        <w:gridCol w:w="1450"/>
        <w:gridCol w:w="1450"/>
        <w:gridCol w:w="1200"/>
        <w:gridCol w:w="1107"/>
        <w:gridCol w:w="992"/>
      </w:tblGrid>
      <w:tr w:rsidR="00BC418B" w:rsidRPr="0022070D" w:rsidTr="00F44F6B">
        <w:trPr>
          <w:trHeight w:val="200"/>
        </w:trPr>
        <w:tc>
          <w:tcPr>
            <w:tcW w:w="12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Дата реєстрації випуску</w:t>
            </w:r>
          </w:p>
        </w:tc>
        <w:tc>
          <w:tcPr>
            <w:tcW w:w="13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Номер свідоцтва про реєстрацію випуску</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Найменування органу, що зареєстрував випуск</w:t>
            </w:r>
          </w:p>
        </w:tc>
        <w:tc>
          <w:tcPr>
            <w:tcW w:w="17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Міжнародний ідентифікаційний номер</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Тип цінного папера</w:t>
            </w:r>
          </w:p>
        </w:tc>
        <w:tc>
          <w:tcPr>
            <w:tcW w:w="14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Форма існування та форма випуску</w:t>
            </w:r>
          </w:p>
        </w:tc>
        <w:tc>
          <w:tcPr>
            <w:tcW w:w="14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Номінальна вартість (грн)</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Кількість акцій (шт.)</w:t>
            </w:r>
          </w:p>
        </w:tc>
        <w:tc>
          <w:tcPr>
            <w:tcW w:w="110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Загальна номінальна вартість (грн)</w:t>
            </w:r>
          </w:p>
        </w:tc>
        <w:tc>
          <w:tcPr>
            <w:tcW w:w="99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Частка у статутному капіталі (у відсотках)</w:t>
            </w:r>
          </w:p>
        </w:tc>
      </w:tr>
      <w:tr w:rsidR="00BC418B" w:rsidRPr="0022070D" w:rsidTr="00F44F6B">
        <w:trPr>
          <w:trHeight w:val="200"/>
        </w:trPr>
        <w:tc>
          <w:tcPr>
            <w:tcW w:w="12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13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w:t>
            </w:r>
          </w:p>
        </w:tc>
        <w:tc>
          <w:tcPr>
            <w:tcW w:w="17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w:t>
            </w:r>
          </w:p>
        </w:tc>
        <w:tc>
          <w:tcPr>
            <w:tcW w:w="14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w:t>
            </w:r>
          </w:p>
        </w:tc>
        <w:tc>
          <w:tcPr>
            <w:tcW w:w="14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w:t>
            </w:r>
          </w:p>
        </w:tc>
        <w:tc>
          <w:tcPr>
            <w:tcW w:w="1107"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9</w:t>
            </w:r>
          </w:p>
        </w:tc>
        <w:tc>
          <w:tcPr>
            <w:tcW w:w="99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w:t>
            </w:r>
          </w:p>
        </w:tc>
      </w:tr>
      <w:tr w:rsidR="00BC418B" w:rsidRPr="0022070D" w:rsidTr="00F44F6B">
        <w:trPr>
          <w:trHeight w:val="200"/>
        </w:trPr>
        <w:tc>
          <w:tcPr>
            <w:tcW w:w="125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11.08.2010</w:t>
            </w:r>
          </w:p>
        </w:tc>
        <w:tc>
          <w:tcPr>
            <w:tcW w:w="135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649/1/10</w:t>
            </w:r>
          </w:p>
        </w:tc>
        <w:tc>
          <w:tcPr>
            <w:tcW w:w="24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Державна комiсiя з цiнних паперiв та фондового ринку</w:t>
            </w:r>
          </w:p>
        </w:tc>
        <w:tc>
          <w:tcPr>
            <w:tcW w:w="17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UA4000084818</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Акція проста бездокументарна іменна</w:t>
            </w:r>
          </w:p>
        </w:tc>
        <w:tc>
          <w:tcPr>
            <w:tcW w:w="145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Бездокументарні іменні</w:t>
            </w:r>
          </w:p>
        </w:tc>
        <w:tc>
          <w:tcPr>
            <w:tcW w:w="145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8,72</w:t>
            </w:r>
          </w:p>
        </w:tc>
        <w:tc>
          <w:tcPr>
            <w:tcW w:w="12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79 700</w:t>
            </w:r>
          </w:p>
        </w:tc>
        <w:tc>
          <w:tcPr>
            <w:tcW w:w="1107"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694 984</w:t>
            </w:r>
          </w:p>
        </w:tc>
        <w:tc>
          <w:tcPr>
            <w:tcW w:w="992"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100</w:t>
            </w:r>
          </w:p>
        </w:tc>
      </w:tr>
      <w:tr w:rsidR="00BC418B" w:rsidRPr="0022070D" w:rsidTr="00686DA4">
        <w:trPr>
          <w:trHeight w:val="200"/>
        </w:trPr>
        <w:tc>
          <w:tcPr>
            <w:tcW w:w="12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Опис</w:t>
            </w:r>
          </w:p>
        </w:tc>
        <w:tc>
          <w:tcPr>
            <w:tcW w:w="13149" w:type="dxa"/>
            <w:gridSpan w:val="9"/>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Торгiвля акцiями АТ "Ладижинський завод ЗБК" на бiржовому ринку не здiйснювалася, заявки для лiстiнгу /делiстiнгу на бiржi (органiзованi ринки) не подавалися. Допемiсiї протягом звiтного перiоду не вiдбувалося.</w:t>
            </w:r>
          </w:p>
        </w:tc>
      </w:tr>
    </w:tbl>
    <w:p w:rsidR="00BC418B" w:rsidRPr="0022070D" w:rsidRDefault="00BC418B">
      <w:pPr>
        <w:widowControl w:val="0"/>
        <w:spacing w:after="0" w:line="240" w:lineRule="auto"/>
        <w:rPr>
          <w:rFonts w:ascii="Times" w:eastAsia="Times" w:hAnsi="Times" w:cs="Times"/>
        </w:rPr>
      </w:pPr>
    </w:p>
    <w:p w:rsidR="00BC418B" w:rsidRPr="0022070D" w:rsidRDefault="00BC418B">
      <w:pPr>
        <w:widowControl w:val="0"/>
        <w:spacing w:after="0" w:line="240" w:lineRule="auto"/>
        <w:jc w:val="center"/>
        <w:rPr>
          <w:rFonts w:ascii="Times" w:eastAsia="Times" w:hAnsi="Times" w:cs="Times"/>
          <w:b/>
          <w:sz w:val="28"/>
          <w:szCs w:val="28"/>
        </w:r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t>8. Інформація про наявність у власності працівників емітента акцій у статутному капіталі емітента</w:t>
      </w:r>
    </w:p>
    <w:p w:rsidR="00BC418B" w:rsidRPr="0022070D" w:rsidRDefault="00BC418B">
      <w:pPr>
        <w:widowControl w:val="0"/>
        <w:spacing w:after="0" w:line="240" w:lineRule="auto"/>
        <w:jc w:val="center"/>
        <w:rPr>
          <w:rFonts w:ascii="Times" w:eastAsia="Times" w:hAnsi="Times" w:cs="Times"/>
          <w:b/>
          <w:sz w:val="28"/>
          <w:szCs w:val="28"/>
        </w:rPr>
      </w:pPr>
    </w:p>
    <w:tbl>
      <w:tblPr>
        <w:tblStyle w:val="affc"/>
        <w:tblW w:w="14503" w:type="dxa"/>
        <w:tblInd w:w="-354"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5962"/>
        <w:gridCol w:w="2500"/>
        <w:gridCol w:w="1500"/>
        <w:gridCol w:w="2500"/>
        <w:gridCol w:w="2041"/>
      </w:tblGrid>
      <w:tr w:rsidR="00BC418B" w:rsidRPr="0022070D" w:rsidTr="00686DA4">
        <w:trPr>
          <w:trHeight w:val="300"/>
        </w:trPr>
        <w:tc>
          <w:tcPr>
            <w:tcW w:w="5962" w:type="dxa"/>
            <w:vMerge w:val="restart"/>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Прізвище, ім'я, по батькові фізичної особи</w:t>
            </w:r>
          </w:p>
        </w:tc>
        <w:tc>
          <w:tcPr>
            <w:tcW w:w="25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Кількість цінних паперів (шт.)</w:t>
            </w:r>
          </w:p>
        </w:tc>
        <w:tc>
          <w:tcPr>
            <w:tcW w:w="1500" w:type="dxa"/>
            <w:vMerge w:val="restart"/>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Від загальної кількості акцій (у відсотках)</w:t>
            </w:r>
          </w:p>
        </w:tc>
        <w:tc>
          <w:tcPr>
            <w:tcW w:w="4541"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Кількість за типами акцій</w:t>
            </w:r>
          </w:p>
        </w:tc>
      </w:tr>
      <w:tr w:rsidR="00BC418B" w:rsidRPr="0022070D" w:rsidTr="00686DA4">
        <w:trPr>
          <w:trHeight w:val="300"/>
        </w:trPr>
        <w:tc>
          <w:tcPr>
            <w:tcW w:w="5962" w:type="dxa"/>
            <w:vMerge/>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sz w:val="20"/>
                <w:szCs w:val="20"/>
              </w:rPr>
            </w:pPr>
          </w:p>
        </w:tc>
        <w:tc>
          <w:tcPr>
            <w:tcW w:w="25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sz w:val="20"/>
                <w:szCs w:val="20"/>
              </w:rPr>
            </w:pPr>
          </w:p>
        </w:tc>
        <w:tc>
          <w:tcPr>
            <w:tcW w:w="1500" w:type="dxa"/>
            <w:vMerge/>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pBdr>
                <w:top w:val="nil"/>
                <w:left w:val="nil"/>
                <w:bottom w:val="nil"/>
                <w:right w:val="nil"/>
                <w:between w:val="nil"/>
              </w:pBdr>
              <w:spacing w:after="0"/>
              <w:rPr>
                <w:rFonts w:ascii="Times" w:eastAsia="Times" w:hAnsi="Times" w:cs="Times"/>
                <w:b/>
                <w:sz w:val="20"/>
                <w:szCs w:val="20"/>
              </w:rPr>
            </w:pP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прості іменні</w:t>
            </w:r>
          </w:p>
        </w:tc>
        <w:tc>
          <w:tcPr>
            <w:tcW w:w="2041"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привілейовані іменні</w:t>
            </w:r>
          </w:p>
        </w:tc>
      </w:tr>
      <w:tr w:rsidR="00BC418B" w:rsidRPr="0022070D" w:rsidTr="00686DA4">
        <w:trPr>
          <w:trHeight w:val="300"/>
        </w:trPr>
        <w:tc>
          <w:tcPr>
            <w:tcW w:w="5962"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1</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2</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3</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4</w:t>
            </w:r>
          </w:p>
        </w:tc>
        <w:tc>
          <w:tcPr>
            <w:tcW w:w="2041"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sz w:val="20"/>
                <w:szCs w:val="20"/>
              </w:rPr>
            </w:pPr>
            <w:r w:rsidRPr="0022070D">
              <w:rPr>
                <w:rFonts w:ascii="Times" w:eastAsia="Times" w:hAnsi="Times" w:cs="Times"/>
                <w:b/>
                <w:sz w:val="20"/>
                <w:szCs w:val="20"/>
              </w:rPr>
              <w:t>5</w:t>
            </w:r>
          </w:p>
        </w:tc>
      </w:tr>
      <w:tr w:rsidR="00BC418B" w:rsidRPr="0022070D" w:rsidTr="00686DA4">
        <w:trPr>
          <w:trHeight w:val="300"/>
        </w:trPr>
        <w:tc>
          <w:tcPr>
            <w:tcW w:w="596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Гураль Яна Яношiвна</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3 445</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4,3225</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3 445</w:t>
            </w:r>
          </w:p>
        </w:tc>
        <w:tc>
          <w:tcPr>
            <w:tcW w:w="2041"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0</w:t>
            </w:r>
          </w:p>
        </w:tc>
      </w:tr>
      <w:tr w:rsidR="00BC418B" w:rsidRPr="0022070D" w:rsidTr="00686DA4">
        <w:trPr>
          <w:trHeight w:val="300"/>
        </w:trPr>
        <w:tc>
          <w:tcPr>
            <w:tcW w:w="5962"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Усього</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3 445</w:t>
            </w:r>
          </w:p>
        </w:tc>
        <w:tc>
          <w:tcPr>
            <w:tcW w:w="1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4,3225</w:t>
            </w:r>
          </w:p>
        </w:tc>
        <w:tc>
          <w:tcPr>
            <w:tcW w:w="2500" w:type="dxa"/>
            <w:tcBorders>
              <w:top w:val="single" w:sz="6" w:space="0" w:color="000000"/>
              <w:left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3 445</w:t>
            </w:r>
          </w:p>
        </w:tc>
        <w:tc>
          <w:tcPr>
            <w:tcW w:w="2041"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sz w:val="20"/>
                <w:szCs w:val="20"/>
              </w:rPr>
            </w:pPr>
            <w:r w:rsidRPr="0022070D">
              <w:rPr>
                <w:rFonts w:ascii="Times" w:eastAsia="Times" w:hAnsi="Times" w:cs="Times"/>
                <w:sz w:val="20"/>
                <w:szCs w:val="20"/>
              </w:rPr>
              <w:t>0</w:t>
            </w:r>
          </w:p>
        </w:tc>
      </w:tr>
    </w:tbl>
    <w:p w:rsidR="00BC418B" w:rsidRPr="0022070D" w:rsidRDefault="00BC418B">
      <w:pPr>
        <w:widowControl w:val="0"/>
        <w:spacing w:after="0" w:line="240" w:lineRule="auto"/>
        <w:rPr>
          <w:rFonts w:ascii="Times" w:eastAsia="Times" w:hAnsi="Times" w:cs="Times"/>
          <w:sz w:val="20"/>
          <w:szCs w:val="20"/>
        </w:rPr>
        <w:sectPr w:rsidR="00BC418B" w:rsidRPr="0022070D">
          <w:pgSz w:w="15840" w:h="12240" w:orient="landscape"/>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8"/>
          <w:szCs w:val="28"/>
        </w:rPr>
      </w:pPr>
      <w:r w:rsidRPr="0022070D">
        <w:rPr>
          <w:rFonts w:ascii="Times" w:eastAsia="Times" w:hAnsi="Times" w:cs="Times"/>
          <w:b/>
          <w:sz w:val="28"/>
          <w:szCs w:val="28"/>
        </w:rPr>
        <w:lastRenderedPageBreak/>
        <w:t>6. Інформація про осіб, послугами яких користується емітент</w:t>
      </w:r>
    </w:p>
    <w:tbl>
      <w:tblPr>
        <w:tblStyle w:val="afff0"/>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000"/>
        <w:gridCol w:w="4000"/>
      </w:tblGrid>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Повне найменування юридичної особи або прізвище, ім'я, по батькові фізичної особи</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Публiчне акцiонерне товариство "Нацiональний Депозитарiй України"</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Організаційно-правова форма</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Акціонерне товариство</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Ідентифікаційний код юридичної особи</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30370711</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Місцезнаходження</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04107, Україна, Київ, вул. Тропiнiна, буд 7Г</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Номер ліцензії або іншого документа на цей вид діяльності</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Вiдповiдно до Закону</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Найменування державного органу, що видав ліцензію або інший документ</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jc w:val="center"/>
              <w:rPr>
                <w:rFonts w:ascii="Times" w:eastAsia="Times" w:hAnsi="Times" w:cs="Times"/>
              </w:rPr>
            </w:pP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Дата видачі ліцензії або іншого документа</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BC418B">
            <w:pPr>
              <w:widowControl w:val="0"/>
              <w:spacing w:after="0" w:line="240" w:lineRule="auto"/>
              <w:jc w:val="center"/>
              <w:rPr>
                <w:rFonts w:ascii="Times" w:eastAsia="Times" w:hAnsi="Times" w:cs="Times"/>
              </w:rPr>
            </w:pP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Міжміський код та телефон</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0445910400</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Факс</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0445910400</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Вид діяльності</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Центральний депозитарiй</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Опис</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Емiтент користується послугами ПАТ "НДУ" передбачених договором про обслуговування випускiв цiнних паперiв з 06 вересня 2010 року.</w:t>
            </w:r>
          </w:p>
        </w:tc>
      </w:tr>
    </w:tbl>
    <w:p w:rsidR="00BC418B" w:rsidRPr="0022070D" w:rsidRDefault="00BC418B">
      <w:pPr>
        <w:widowControl w:val="0"/>
        <w:spacing w:after="0" w:line="240" w:lineRule="auto"/>
        <w:rPr>
          <w:rFonts w:ascii="Times" w:eastAsia="Times" w:hAnsi="Times" w:cs="Times"/>
        </w:rPr>
      </w:pPr>
    </w:p>
    <w:tbl>
      <w:tblPr>
        <w:tblStyle w:val="afff1"/>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000"/>
        <w:gridCol w:w="4000"/>
      </w:tblGrid>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Повне найменування юридичної особи або прізвище, ім'я, по батькові фізичної особи</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Публiчне акцiонерне товариство "Айбокс банк"</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Організаційно-правова форма</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Акціонерне товариство</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Ідентифікаційний код юридичної особи</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21570492</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Місцезнаходження</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03150, Україна, Київ, вул. Дiлова, буд.9-А</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Номер ліцензії або іншого документа на цей вид діяльності</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1552</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Найменування державного органу, що видав ліцензію або інший документ</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НКЦПФР</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Дата видачі ліцензії або іншого документа</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20.08.2013</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Міжміський код та телефон</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044 2054180</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Факс</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044 2054180</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Вид діяльності</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64.19</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Опис</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Емiтент користується послугами Депозитарної установи ПАТ "Айбокс банк" на пiдставi договору про вiдкриття рахункiв у цiнних паперах власникiв Приватного акцiонерного товариства "Ладижинський завод ЗБК" вiд 23.09.2016р.</w:t>
            </w:r>
          </w:p>
        </w:tc>
      </w:tr>
    </w:tbl>
    <w:p w:rsidR="00BC418B" w:rsidRPr="0022070D" w:rsidRDefault="00BC418B">
      <w:pPr>
        <w:widowControl w:val="0"/>
        <w:spacing w:after="0" w:line="240" w:lineRule="auto"/>
        <w:rPr>
          <w:rFonts w:ascii="Times" w:eastAsia="Times" w:hAnsi="Times" w:cs="Times"/>
        </w:rPr>
      </w:pPr>
    </w:p>
    <w:tbl>
      <w:tblPr>
        <w:tblStyle w:val="afff2"/>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6000"/>
        <w:gridCol w:w="4000"/>
      </w:tblGrid>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Повне найменування юридичної особи або прізвище, ім'я, по батькові фізичної особи</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Державна установа "Агентство з розвитку iнфраструктири фондового ринку України"</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Організаційно-правова форма</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Державне підприємство</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Ідентифікаційний код юридичної особи</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21676262</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Місцезнаходження</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03150, Україна, Київ, вул. Грiнченка Бориса, 3, 5 поверх</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Номер ліцензії або іншого документа на цей вид діяльності</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DR/00002/ARM</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Найменування державного органу, що видав ліцензію або інший документ</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НКЦПФР</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lastRenderedPageBreak/>
              <w:t>Дата видачі ліцензії або іншого документа</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18.02.2019</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Міжміський код та телефон</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(044) 287 56 70</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Факс</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(044) 287 56 70</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Вид діяльності</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Надання iнформацiйних послуг на фондовому ринку, а саме оприлюднення регульованої iнформацiї та подання звiтностi та/або адмiнiстративних даних до Нацiональної комiсiї з цiнних паперiв та фондового ринку</w:t>
            </w:r>
          </w:p>
        </w:tc>
      </w:tr>
      <w:tr w:rsidR="00BC418B" w:rsidRPr="0022070D">
        <w:trPr>
          <w:trHeight w:val="200"/>
        </w:trPr>
        <w:tc>
          <w:tcPr>
            <w:tcW w:w="6000" w:type="dxa"/>
            <w:tcBorders>
              <w:top w:val="single" w:sz="6" w:space="0" w:color="000000"/>
              <w:bottom w:val="single" w:sz="6" w:space="0" w:color="000000"/>
              <w:right w:val="single" w:sz="6" w:space="0" w:color="000000"/>
            </w:tcBorders>
            <w:tcMar>
              <w:top w:w="0" w:type="dxa"/>
              <w:bottom w:w="0" w:type="dxa"/>
            </w:tcMa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Опис</w:t>
            </w:r>
          </w:p>
        </w:tc>
        <w:tc>
          <w:tcPr>
            <w:tcW w:w="4000" w:type="dxa"/>
            <w:tcBorders>
              <w:top w:val="single" w:sz="6" w:space="0" w:color="000000"/>
              <w:left w:val="single" w:sz="6" w:space="0" w:color="000000"/>
              <w:bottom w:val="single" w:sz="6" w:space="0" w:color="000000"/>
            </w:tcBorders>
            <w:tcMar>
              <w:top w:w="0" w:type="dxa"/>
              <w:bottom w:w="0" w:type="dxa"/>
            </w:tcMar>
          </w:tcPr>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Надає емiтенту iнформацiйнi послуги на фондовому ринку з оприлюднення регульованої iнформацiї та подання звiтностi та/або адмiнiстративних даних до Нацiональної комiсiї з цiнних паперiв та фондового ринку</w:t>
            </w:r>
          </w:p>
        </w:tc>
      </w:tr>
    </w:tbl>
    <w:p w:rsidR="00BC418B" w:rsidRPr="0022070D" w:rsidRDefault="00BC418B">
      <w:pPr>
        <w:widowControl w:val="0"/>
        <w:spacing w:after="0" w:line="240" w:lineRule="auto"/>
        <w:rPr>
          <w:rFonts w:ascii="Times" w:eastAsia="Times" w:hAnsi="Times" w:cs="Times"/>
        </w:rPr>
      </w:pPr>
    </w:p>
    <w:p w:rsidR="00BC418B" w:rsidRPr="0022070D" w:rsidRDefault="00BC418B">
      <w:pPr>
        <w:widowControl w:val="0"/>
        <w:spacing w:after="0" w:line="240" w:lineRule="auto"/>
        <w:rPr>
          <w:rFonts w:ascii="Times" w:eastAsia="Times" w:hAnsi="Times" w:cs="Times"/>
          <w:sz w:val="24"/>
          <w:szCs w:val="24"/>
        </w:rPr>
      </w:pPr>
    </w:p>
    <w:p w:rsidR="00BC418B" w:rsidRPr="0022070D" w:rsidRDefault="00BC418B">
      <w:pPr>
        <w:widowControl w:val="0"/>
        <w:spacing w:after="0" w:line="240" w:lineRule="auto"/>
        <w:rPr>
          <w:rFonts w:ascii="Times" w:eastAsia="Times" w:hAnsi="Times" w:cs="Times"/>
          <w:sz w:val="24"/>
          <w:szCs w:val="24"/>
        </w:rPr>
      </w:pP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ФІНАНСОВИЙ ЗВІТ</w:t>
      </w:r>
    </w:p>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суб'єкта малого підприємництва</w:t>
      </w:r>
    </w:p>
    <w:tbl>
      <w:tblPr>
        <w:tblStyle w:val="afff3"/>
        <w:tblW w:w="9997" w:type="dxa"/>
        <w:tblInd w:w="108" w:type="dxa"/>
        <w:tblLayout w:type="fixed"/>
        <w:tblLook w:val="0000" w:firstRow="0" w:lastRow="0" w:firstColumn="0" w:lastColumn="0" w:noHBand="0" w:noVBand="0"/>
      </w:tblPr>
      <w:tblGrid>
        <w:gridCol w:w="2161"/>
        <w:gridCol w:w="2612"/>
        <w:gridCol w:w="2612"/>
        <w:gridCol w:w="2612"/>
      </w:tblGrid>
      <w:tr w:rsidR="00BC418B" w:rsidRPr="0022070D">
        <w:trPr>
          <w:trHeight w:val="298"/>
        </w:trPr>
        <w:tc>
          <w:tcPr>
            <w:tcW w:w="7384" w:type="dxa"/>
            <w:gridSpan w:val="3"/>
            <w:tcMar>
              <w:top w:w="0" w:type="dxa"/>
              <w:bottom w:w="0" w:type="dxa"/>
            </w:tcMar>
          </w:tcPr>
          <w:p w:rsidR="00BC418B" w:rsidRPr="0022070D" w:rsidRDefault="00BC418B">
            <w:pPr>
              <w:widowControl w:val="0"/>
              <w:pBdr>
                <w:top w:val="nil"/>
                <w:left w:val="nil"/>
                <w:bottom w:val="nil"/>
                <w:right w:val="nil"/>
                <w:between w:val="nil"/>
              </w:pBdr>
              <w:spacing w:after="0"/>
              <w:rPr>
                <w:rFonts w:ascii="Times" w:eastAsia="Times" w:hAnsi="Times" w:cs="Times"/>
                <w:b/>
                <w:sz w:val="24"/>
                <w:szCs w:val="24"/>
              </w:rPr>
            </w:pPr>
          </w:p>
        </w:tc>
        <w:tc>
          <w:tcPr>
            <w:tcW w:w="261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b/>
              </w:rPr>
            </w:pPr>
            <w:r w:rsidRPr="0022070D">
              <w:rPr>
                <w:rFonts w:ascii="Times" w:eastAsia="Times" w:hAnsi="Times" w:cs="Times"/>
                <w:b/>
              </w:rPr>
              <w:t>КОДИ</w:t>
            </w:r>
          </w:p>
        </w:tc>
      </w:tr>
      <w:tr w:rsidR="00BC418B" w:rsidRPr="0022070D">
        <w:trPr>
          <w:trHeight w:val="298"/>
        </w:trPr>
        <w:tc>
          <w:tcPr>
            <w:tcW w:w="4772" w:type="dxa"/>
            <w:gridSpan w:val="2"/>
            <w:tcMar>
              <w:top w:w="0" w:type="dxa"/>
              <w:bottom w:w="0" w:type="dxa"/>
            </w:tcMar>
          </w:tcPr>
          <w:p w:rsidR="00BC418B" w:rsidRPr="0022070D" w:rsidRDefault="00BC418B">
            <w:pPr>
              <w:widowControl w:val="0"/>
              <w:pBdr>
                <w:top w:val="nil"/>
                <w:left w:val="nil"/>
                <w:bottom w:val="nil"/>
                <w:right w:val="nil"/>
                <w:between w:val="nil"/>
              </w:pBdr>
              <w:spacing w:after="0"/>
              <w:rPr>
                <w:rFonts w:ascii="Times" w:eastAsia="Times" w:hAnsi="Times" w:cs="Times"/>
                <w:b/>
              </w:rPr>
            </w:pPr>
          </w:p>
        </w:tc>
        <w:tc>
          <w:tcPr>
            <w:tcW w:w="2612" w:type="dxa"/>
            <w:tcBorders>
              <w:top w:val="nil"/>
              <w:left w:val="nil"/>
              <w:bottom w:val="nil"/>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Дата (рік, місяць, число)</w:t>
            </w:r>
          </w:p>
        </w:tc>
        <w:tc>
          <w:tcPr>
            <w:tcW w:w="261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2021.01.01</w:t>
            </w:r>
          </w:p>
        </w:tc>
      </w:tr>
      <w:tr w:rsidR="00BC418B" w:rsidRPr="0022070D">
        <w:tc>
          <w:tcPr>
            <w:tcW w:w="2160"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Підприємство</w:t>
            </w:r>
          </w:p>
        </w:tc>
        <w:tc>
          <w:tcPr>
            <w:tcW w:w="2612"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Приватне акцiонерне товариство "Ладижинський завод ЗБК"</w:t>
            </w:r>
          </w:p>
        </w:tc>
        <w:tc>
          <w:tcPr>
            <w:tcW w:w="2612" w:type="dxa"/>
            <w:tcBorders>
              <w:top w:val="nil"/>
              <w:left w:val="nil"/>
              <w:bottom w:val="nil"/>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за ЄДРПОУ</w:t>
            </w:r>
          </w:p>
        </w:tc>
        <w:tc>
          <w:tcPr>
            <w:tcW w:w="261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00131966</w:t>
            </w:r>
          </w:p>
        </w:tc>
      </w:tr>
      <w:tr w:rsidR="00BC418B" w:rsidRPr="0022070D">
        <w:tc>
          <w:tcPr>
            <w:tcW w:w="2160"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Територія</w:t>
            </w:r>
          </w:p>
        </w:tc>
        <w:tc>
          <w:tcPr>
            <w:tcW w:w="2612"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Вінницька область, м.Ладижин</w:t>
            </w:r>
          </w:p>
        </w:tc>
        <w:tc>
          <w:tcPr>
            <w:tcW w:w="2612" w:type="dxa"/>
            <w:tcBorders>
              <w:top w:val="nil"/>
              <w:left w:val="nil"/>
              <w:bottom w:val="nil"/>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за КОАТУУ</w:t>
            </w:r>
          </w:p>
        </w:tc>
        <w:tc>
          <w:tcPr>
            <w:tcW w:w="261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0510600000</w:t>
            </w:r>
          </w:p>
        </w:tc>
      </w:tr>
      <w:tr w:rsidR="00BC418B" w:rsidRPr="0022070D">
        <w:tc>
          <w:tcPr>
            <w:tcW w:w="2160"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Організаційно-правова форма господарювання</w:t>
            </w:r>
          </w:p>
        </w:tc>
        <w:tc>
          <w:tcPr>
            <w:tcW w:w="2612"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Акціонерне товариство</w:t>
            </w:r>
          </w:p>
        </w:tc>
        <w:tc>
          <w:tcPr>
            <w:tcW w:w="2612" w:type="dxa"/>
            <w:tcBorders>
              <w:top w:val="nil"/>
              <w:left w:val="nil"/>
              <w:bottom w:val="nil"/>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за КОПФГ</w:t>
            </w:r>
          </w:p>
        </w:tc>
        <w:tc>
          <w:tcPr>
            <w:tcW w:w="261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230</w:t>
            </w:r>
          </w:p>
        </w:tc>
      </w:tr>
      <w:tr w:rsidR="00BC418B" w:rsidRPr="0022070D">
        <w:trPr>
          <w:trHeight w:val="298"/>
        </w:trPr>
        <w:tc>
          <w:tcPr>
            <w:tcW w:w="2160"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Вид економічної діяльності</w:t>
            </w:r>
          </w:p>
        </w:tc>
        <w:tc>
          <w:tcPr>
            <w:tcW w:w="2612" w:type="dxa"/>
            <w:tcBorders>
              <w:top w:val="nil"/>
              <w:left w:val="nil"/>
              <w:bottom w:val="nil"/>
              <w:right w:val="nil"/>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Виготовлення виробів із бетону для будівництва</w:t>
            </w:r>
          </w:p>
        </w:tc>
        <w:tc>
          <w:tcPr>
            <w:tcW w:w="2612" w:type="dxa"/>
            <w:tcBorders>
              <w:top w:val="nil"/>
              <w:left w:val="nil"/>
              <w:bottom w:val="nil"/>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b/>
              </w:rPr>
            </w:pPr>
            <w:r w:rsidRPr="0022070D">
              <w:rPr>
                <w:rFonts w:ascii="Times" w:eastAsia="Times" w:hAnsi="Times" w:cs="Times"/>
                <w:b/>
              </w:rPr>
              <w:t>за КВЕД</w:t>
            </w:r>
          </w:p>
        </w:tc>
        <w:tc>
          <w:tcPr>
            <w:tcW w:w="2612"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23.61</w:t>
            </w:r>
          </w:p>
        </w:tc>
      </w:tr>
    </w:tbl>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 xml:space="preserve">Середня кількість працівників, осіб: </w:t>
      </w:r>
      <w:r w:rsidRPr="0022070D">
        <w:rPr>
          <w:rFonts w:ascii="Times" w:eastAsia="Times" w:hAnsi="Times" w:cs="Times"/>
        </w:rPr>
        <w:t>30</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 xml:space="preserve">Одиниця виміру: </w:t>
      </w:r>
      <w:r w:rsidRPr="0022070D">
        <w:rPr>
          <w:rFonts w:ascii="Times" w:eastAsia="Times" w:hAnsi="Times" w:cs="Times"/>
        </w:rPr>
        <w:t>тис.грн. з одним десятковим знаком</w:t>
      </w:r>
    </w:p>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 xml:space="preserve">Адреса, телефон: </w:t>
      </w:r>
      <w:r w:rsidRPr="0022070D">
        <w:rPr>
          <w:rFonts w:ascii="Times" w:eastAsia="Times" w:hAnsi="Times" w:cs="Times"/>
        </w:rPr>
        <w:t>24321, Вінницька обл., мiсто Ладижин, вул. Наконечного, 184, 04343 6-11-03</w:t>
      </w:r>
    </w:p>
    <w:p w:rsidR="00BC418B" w:rsidRPr="0022070D" w:rsidRDefault="00BC418B">
      <w:pPr>
        <w:widowControl w:val="0"/>
        <w:spacing w:after="0" w:line="240" w:lineRule="auto"/>
        <w:rPr>
          <w:rFonts w:ascii="Times" w:eastAsia="Times" w:hAnsi="Times" w:cs="Times"/>
          <w:sz w:val="24"/>
          <w:szCs w:val="24"/>
        </w:rPr>
      </w:pPr>
    </w:p>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t>1. Баланс</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на 31.12.2020 p.</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Форма №1-м</w:t>
      </w:r>
    </w:p>
    <w:tbl>
      <w:tblPr>
        <w:tblStyle w:val="afff4"/>
        <w:tblW w:w="9997"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5851"/>
        <w:gridCol w:w="776"/>
        <w:gridCol w:w="874"/>
        <w:gridCol w:w="832"/>
        <w:gridCol w:w="832"/>
        <w:gridCol w:w="832"/>
      </w:tblGrid>
      <w:tr w:rsidR="00BC418B" w:rsidRPr="0022070D">
        <w:trPr>
          <w:trHeight w:val="280"/>
        </w:trPr>
        <w:tc>
          <w:tcPr>
            <w:tcW w:w="7500" w:type="dxa"/>
            <w:gridSpan w:val="3"/>
            <w:tcMar>
              <w:top w:w="0" w:type="dxa"/>
              <w:bottom w:w="0" w:type="dxa"/>
            </w:tcMa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664" w:type="dxa"/>
            <w:gridSpan w:val="2"/>
            <w:tcBorders>
              <w:top w:val="nil"/>
              <w:left w:val="nil"/>
              <w:bottom w:val="nil"/>
              <w:right w:val="single" w:sz="6" w:space="0" w:color="000000"/>
            </w:tcBorders>
            <w:tcMar>
              <w:top w:w="0" w:type="dxa"/>
              <w:bottom w:w="0" w:type="dxa"/>
            </w:tcMar>
            <w:vAlign w:val="center"/>
          </w:tcPr>
          <w:p w:rsidR="00BC418B" w:rsidRPr="0022070D" w:rsidRDefault="00686DA4">
            <w:pPr>
              <w:widowControl w:val="0"/>
              <w:spacing w:after="0" w:line="240" w:lineRule="auto"/>
              <w:jc w:val="right"/>
              <w:rPr>
                <w:rFonts w:ascii="Times" w:eastAsia="Times" w:hAnsi="Times" w:cs="Times"/>
              </w:rPr>
            </w:pPr>
            <w:r w:rsidRPr="0022070D">
              <w:rPr>
                <w:rFonts w:ascii="Times" w:eastAsia="Times" w:hAnsi="Times" w:cs="Times"/>
              </w:rPr>
              <w:t>Код за ДКУД</w:t>
            </w:r>
          </w:p>
        </w:tc>
        <w:tc>
          <w:tcPr>
            <w:tcW w:w="83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right"/>
              <w:rPr>
                <w:rFonts w:ascii="Times" w:eastAsia="Times" w:hAnsi="Times" w:cs="Times"/>
              </w:rPr>
            </w:pPr>
            <w:r w:rsidRPr="0022070D">
              <w:rPr>
                <w:rFonts w:ascii="Times" w:eastAsia="Times" w:hAnsi="Times" w:cs="Times"/>
              </w:rPr>
              <w:t>1801006</w:t>
            </w:r>
          </w:p>
        </w:tc>
      </w:tr>
      <w:tr w:rsidR="00BC418B" w:rsidRPr="0022070D">
        <w:trPr>
          <w:trHeight w:val="530"/>
        </w:trPr>
        <w:tc>
          <w:tcPr>
            <w:tcW w:w="5850" w:type="dxa"/>
            <w:tcBorders>
              <w:top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Актив</w:t>
            </w:r>
          </w:p>
        </w:tc>
        <w:tc>
          <w:tcPr>
            <w:tcW w:w="776"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Код рядка</w:t>
            </w:r>
          </w:p>
        </w:tc>
        <w:tc>
          <w:tcPr>
            <w:tcW w:w="1706" w:type="dxa"/>
            <w:gridSpan w:val="2"/>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На початок звітного року</w:t>
            </w:r>
          </w:p>
        </w:tc>
        <w:tc>
          <w:tcPr>
            <w:tcW w:w="1664" w:type="dxa"/>
            <w:gridSpan w:val="2"/>
            <w:tcBorders>
              <w:top w:val="single" w:sz="6" w:space="0" w:color="000000"/>
              <w:left w:val="single" w:sz="6" w:space="0" w:color="000000"/>
              <w:bottom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На кінець звітного періоду</w:t>
            </w:r>
          </w:p>
        </w:tc>
      </w:tr>
      <w:tr w:rsidR="00BC418B" w:rsidRPr="0022070D">
        <w:trPr>
          <w:trHeight w:val="200"/>
        </w:trPr>
        <w:tc>
          <w:tcPr>
            <w:tcW w:w="5850" w:type="dxa"/>
            <w:tcBorders>
              <w:top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776"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1706" w:type="dxa"/>
            <w:gridSpan w:val="2"/>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w:t>
            </w:r>
          </w:p>
        </w:tc>
        <w:tc>
          <w:tcPr>
            <w:tcW w:w="1664" w:type="dxa"/>
            <w:gridSpan w:val="2"/>
            <w:tcBorders>
              <w:top w:val="single" w:sz="6" w:space="0" w:color="000000"/>
              <w:left w:val="single" w:sz="6" w:space="0" w:color="000000"/>
              <w:bottom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I. Необоротні активи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rPr>
            </w:pP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rPr>
            </w:pP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rPr>
                <w:rFonts w:ascii="Times" w:eastAsia="Times" w:hAnsi="Times" w:cs="Times"/>
              </w:rPr>
            </w:pP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Незавершені капітальні інвестиції</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1005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3,2</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Основні засоби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1010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2249,5</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2106,8</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первісна вартість</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1011</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11020,1</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11025</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lastRenderedPageBreak/>
              <w:t xml:space="preserve">    знос</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1012</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(8770,6)</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(8918,2)</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Довгострокові біологічні активи </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1020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Довгострокові фінансові інвестиції</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1030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Інші необоротні активи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1090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Усього за розділом I</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1095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2252,7</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2106,8</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II. Оборотні активи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Запаси: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1100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2990,6</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2174,6</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у тому числі готова продукція</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1103</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1091,7</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601,3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Поточні біологічні активи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1110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Дебіторська заборгованість за товари, роботи, послуги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1125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20,7</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37,6</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Дебіторська заборгованість за розрахунками з бюджетом</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1135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19,9</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у тому числі з податку на прибуток</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1136</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Інша поточна дебіторська заборгованість</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1155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374,5</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256,8</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Поточні фінансові інвестиції</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1160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Гроші та їх еквіваленти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1165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12,2</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10,8</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Витрати майбутніх періодів</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1170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Інші оборотні активи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1190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547,2</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319,3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Усього за розділом II</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1195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3965,1</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2801,4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III. Необоротні активи, утримувані для продажу, та групи вибуття</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1200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Баланс</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1300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6217,8</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4908,2</w:t>
            </w:r>
          </w:p>
        </w:tc>
      </w:tr>
    </w:tbl>
    <w:p w:rsidR="00BC418B" w:rsidRPr="0022070D" w:rsidRDefault="00BC418B">
      <w:pPr>
        <w:widowControl w:val="0"/>
        <w:spacing w:after="0" w:line="240" w:lineRule="auto"/>
        <w:rPr>
          <w:rFonts w:ascii="Times" w:eastAsia="Times" w:hAnsi="Times" w:cs="Times"/>
        </w:rPr>
      </w:pPr>
    </w:p>
    <w:tbl>
      <w:tblPr>
        <w:tblStyle w:val="afff5"/>
        <w:tblW w:w="10000"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5850"/>
        <w:gridCol w:w="776"/>
        <w:gridCol w:w="1729"/>
        <w:gridCol w:w="1645"/>
      </w:tblGrid>
      <w:tr w:rsidR="00BC418B" w:rsidRPr="0022070D">
        <w:trPr>
          <w:trHeight w:val="529"/>
        </w:trPr>
        <w:tc>
          <w:tcPr>
            <w:tcW w:w="5850" w:type="dxa"/>
            <w:tcBorders>
              <w:top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Пасив</w:t>
            </w:r>
          </w:p>
        </w:tc>
        <w:tc>
          <w:tcPr>
            <w:tcW w:w="776"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Код рядка</w:t>
            </w:r>
          </w:p>
        </w:tc>
        <w:tc>
          <w:tcPr>
            <w:tcW w:w="1729"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На початок звітного року</w:t>
            </w:r>
          </w:p>
        </w:tc>
        <w:tc>
          <w:tcPr>
            <w:tcW w:w="1645" w:type="dxa"/>
            <w:tcBorders>
              <w:top w:val="single" w:sz="6" w:space="0" w:color="000000"/>
              <w:left w:val="single" w:sz="6" w:space="0" w:color="000000"/>
              <w:bottom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На кінець звітного періоду</w:t>
            </w:r>
          </w:p>
        </w:tc>
      </w:tr>
      <w:tr w:rsidR="00BC418B" w:rsidRPr="0022070D">
        <w:trPr>
          <w:trHeight w:val="200"/>
        </w:trPr>
        <w:tc>
          <w:tcPr>
            <w:tcW w:w="5850" w:type="dxa"/>
            <w:tcBorders>
              <w:top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776"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1729"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w:t>
            </w:r>
          </w:p>
        </w:tc>
        <w:tc>
          <w:tcPr>
            <w:tcW w:w="1645" w:type="dxa"/>
            <w:tcBorders>
              <w:top w:val="single" w:sz="6" w:space="0" w:color="000000"/>
              <w:left w:val="single" w:sz="6" w:space="0" w:color="000000"/>
              <w:bottom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I. Власний капітал</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r>
      <w:tr w:rsidR="00BC418B" w:rsidRPr="0022070D">
        <w:trPr>
          <w:trHeight w:val="205"/>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Зареєстрований (пайовий) капітал</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1400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695</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695</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Додатковий капітал</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1410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2285</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2285,3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Резервний капітал</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1415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103</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Нерозподілений прибуток (непокритий збиток)</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1420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-3660,2</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-3326,7</w:t>
            </w:r>
          </w:p>
        </w:tc>
      </w:tr>
      <w:tr w:rsidR="00BC418B" w:rsidRPr="0022070D">
        <w:trPr>
          <w:trHeight w:val="200"/>
        </w:trPr>
        <w:tc>
          <w:tcPr>
            <w:tcW w:w="585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Неоплачений капітал</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1425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45"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Усього за розділом I</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1495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-577,2</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-243,4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II. Довгострокові зобов`язання, цільове фінансування та забезпечення</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1595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III. Поточні зобов'язання</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BC418B">
            <w:pPr>
              <w:widowControl w:val="0"/>
              <w:spacing w:after="0" w:line="240" w:lineRule="auto"/>
              <w:jc w:val="center"/>
              <w:rPr>
                <w:rFonts w:ascii="Times" w:eastAsia="Times" w:hAnsi="Times" w:cs="Times"/>
              </w:rPr>
            </w:pP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Короткострокові кредити банків</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1600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Поточна кредиторська заборгованість за: довгостроковими зобов'язаннями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1610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товари, роботи, послуги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1615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855</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1242,6</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розрахунками з бюджетом</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1620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129,4</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71,6</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у тому числі з податку на прибуток</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1621</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23,3</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12,4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розрахунками зі страхування</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1625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11,7</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15,2</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 xml:space="preserve">    розрахунками з оплати праці</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1630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316,3</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296,3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Доходи майбутніх періодів</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1665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Інші поточні зобов'язання</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1690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5482,6</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3525,9</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Усього за розділом III</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1695</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6795</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5151,6</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IV. Зобов'язання, пов'язані з необоротними активами, утримуваними для продажу, та групами вибуття</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1700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Баланс</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1900</w:t>
            </w:r>
          </w:p>
        </w:tc>
        <w:tc>
          <w:tcPr>
            <w:tcW w:w="1729"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6217,8</w:t>
            </w:r>
          </w:p>
        </w:tc>
        <w:tc>
          <w:tcPr>
            <w:tcW w:w="1645"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4908,2</w:t>
            </w:r>
          </w:p>
        </w:tc>
      </w:tr>
    </w:tbl>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Примітки: -</w:t>
      </w:r>
    </w:p>
    <w:p w:rsidR="00BC418B" w:rsidRPr="0022070D" w:rsidRDefault="00BC418B">
      <w:pPr>
        <w:widowControl w:val="0"/>
        <w:spacing w:after="0" w:line="240" w:lineRule="auto"/>
        <w:rPr>
          <w:rFonts w:ascii="Times" w:eastAsia="Times" w:hAnsi="Times" w:cs="Times"/>
        </w:rPr>
        <w:sectPr w:rsidR="00BC418B" w:rsidRPr="0022070D">
          <w:pgSz w:w="12240" w:h="15840"/>
          <w:pgMar w:top="850" w:right="850" w:bottom="850" w:left="1400" w:header="720" w:footer="720" w:gutter="0"/>
          <w:cols w:space="720"/>
        </w:sectPr>
      </w:pPr>
    </w:p>
    <w:p w:rsidR="00BC418B" w:rsidRPr="0022070D" w:rsidRDefault="00686DA4">
      <w:pPr>
        <w:widowControl w:val="0"/>
        <w:spacing w:after="0" w:line="240" w:lineRule="auto"/>
        <w:jc w:val="center"/>
        <w:rPr>
          <w:rFonts w:ascii="Times" w:eastAsia="Times" w:hAnsi="Times" w:cs="Times"/>
          <w:b/>
          <w:sz w:val="24"/>
          <w:szCs w:val="24"/>
        </w:rPr>
      </w:pPr>
      <w:r w:rsidRPr="0022070D">
        <w:rPr>
          <w:rFonts w:ascii="Times" w:eastAsia="Times" w:hAnsi="Times" w:cs="Times"/>
          <w:b/>
          <w:sz w:val="24"/>
          <w:szCs w:val="24"/>
        </w:rPr>
        <w:lastRenderedPageBreak/>
        <w:t>2. Звіт про фінансові результати</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за 2020 рік</w:t>
      </w:r>
    </w:p>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Форма №2-м</w:t>
      </w:r>
    </w:p>
    <w:tbl>
      <w:tblPr>
        <w:tblStyle w:val="afff6"/>
        <w:tblW w:w="9997" w:type="dxa"/>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5851"/>
        <w:gridCol w:w="776"/>
        <w:gridCol w:w="874"/>
        <w:gridCol w:w="832"/>
        <w:gridCol w:w="832"/>
        <w:gridCol w:w="832"/>
      </w:tblGrid>
      <w:tr w:rsidR="00BC418B" w:rsidRPr="0022070D">
        <w:trPr>
          <w:trHeight w:val="280"/>
        </w:trPr>
        <w:tc>
          <w:tcPr>
            <w:tcW w:w="7500" w:type="dxa"/>
            <w:gridSpan w:val="3"/>
            <w:tcMar>
              <w:top w:w="0" w:type="dxa"/>
              <w:bottom w:w="0" w:type="dxa"/>
            </w:tcMar>
          </w:tcPr>
          <w:p w:rsidR="00BC418B" w:rsidRPr="0022070D" w:rsidRDefault="00BC418B">
            <w:pPr>
              <w:widowControl w:val="0"/>
              <w:pBdr>
                <w:top w:val="nil"/>
                <w:left w:val="nil"/>
                <w:bottom w:val="nil"/>
                <w:right w:val="nil"/>
                <w:between w:val="nil"/>
              </w:pBdr>
              <w:spacing w:after="0"/>
              <w:rPr>
                <w:rFonts w:ascii="Times" w:eastAsia="Times" w:hAnsi="Times" w:cs="Times"/>
              </w:rPr>
            </w:pPr>
          </w:p>
        </w:tc>
        <w:tc>
          <w:tcPr>
            <w:tcW w:w="1664" w:type="dxa"/>
            <w:gridSpan w:val="2"/>
            <w:tcBorders>
              <w:top w:val="nil"/>
              <w:left w:val="nil"/>
              <w:bottom w:val="nil"/>
              <w:right w:val="single" w:sz="6" w:space="0" w:color="000000"/>
            </w:tcBorders>
            <w:tcMar>
              <w:top w:w="0" w:type="dxa"/>
              <w:bottom w:w="0" w:type="dxa"/>
            </w:tcMar>
            <w:vAlign w:val="center"/>
          </w:tcPr>
          <w:p w:rsidR="00BC418B" w:rsidRPr="0022070D" w:rsidRDefault="00686DA4">
            <w:pPr>
              <w:widowControl w:val="0"/>
              <w:spacing w:after="0" w:line="240" w:lineRule="auto"/>
              <w:jc w:val="right"/>
              <w:rPr>
                <w:rFonts w:ascii="Times" w:eastAsia="Times" w:hAnsi="Times" w:cs="Times"/>
              </w:rPr>
            </w:pPr>
            <w:r w:rsidRPr="0022070D">
              <w:rPr>
                <w:rFonts w:ascii="Times" w:eastAsia="Times" w:hAnsi="Times" w:cs="Times"/>
              </w:rPr>
              <w:t>Код за ДКУД</w:t>
            </w:r>
          </w:p>
        </w:tc>
        <w:tc>
          <w:tcPr>
            <w:tcW w:w="832" w:type="dxa"/>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right"/>
              <w:rPr>
                <w:rFonts w:ascii="Times" w:eastAsia="Times" w:hAnsi="Times" w:cs="Times"/>
              </w:rPr>
            </w:pPr>
            <w:r w:rsidRPr="0022070D">
              <w:rPr>
                <w:rFonts w:ascii="Times" w:eastAsia="Times" w:hAnsi="Times" w:cs="Times"/>
              </w:rPr>
              <w:t>1801007</w:t>
            </w:r>
          </w:p>
        </w:tc>
      </w:tr>
      <w:tr w:rsidR="00BC418B" w:rsidRPr="0022070D">
        <w:trPr>
          <w:trHeight w:val="530"/>
        </w:trPr>
        <w:tc>
          <w:tcPr>
            <w:tcW w:w="5850" w:type="dxa"/>
            <w:tcBorders>
              <w:top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Стаття</w:t>
            </w:r>
          </w:p>
        </w:tc>
        <w:tc>
          <w:tcPr>
            <w:tcW w:w="776"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Код рядка</w:t>
            </w:r>
          </w:p>
        </w:tc>
        <w:tc>
          <w:tcPr>
            <w:tcW w:w="1706" w:type="dxa"/>
            <w:gridSpan w:val="2"/>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За звітний період</w:t>
            </w:r>
          </w:p>
        </w:tc>
        <w:tc>
          <w:tcPr>
            <w:tcW w:w="1664" w:type="dxa"/>
            <w:gridSpan w:val="2"/>
            <w:tcBorders>
              <w:top w:val="single" w:sz="6" w:space="0" w:color="000000"/>
              <w:left w:val="single" w:sz="6" w:space="0" w:color="000000"/>
              <w:bottom w:val="single" w:sz="6" w:space="0" w:color="000000"/>
            </w:tcBorders>
            <w:shd w:val="clear" w:color="auto" w:fill="E6E6E6"/>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За аналогічний період попереднього року</w:t>
            </w:r>
          </w:p>
        </w:tc>
      </w:tr>
      <w:tr w:rsidR="00BC418B" w:rsidRPr="0022070D">
        <w:trPr>
          <w:trHeight w:val="200"/>
        </w:trPr>
        <w:tc>
          <w:tcPr>
            <w:tcW w:w="5850" w:type="dxa"/>
            <w:tcBorders>
              <w:top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w:t>
            </w:r>
          </w:p>
        </w:tc>
        <w:tc>
          <w:tcPr>
            <w:tcW w:w="776" w:type="dxa"/>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w:t>
            </w:r>
          </w:p>
        </w:tc>
        <w:tc>
          <w:tcPr>
            <w:tcW w:w="1706" w:type="dxa"/>
            <w:gridSpan w:val="2"/>
            <w:tcBorders>
              <w:top w:val="single" w:sz="6" w:space="0" w:color="000000"/>
              <w:left w:val="single" w:sz="6" w:space="0" w:color="000000"/>
              <w:bottom w:val="single" w:sz="6" w:space="0" w:color="000000"/>
              <w:right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w:t>
            </w:r>
          </w:p>
        </w:tc>
        <w:tc>
          <w:tcPr>
            <w:tcW w:w="1664" w:type="dxa"/>
            <w:gridSpan w:val="2"/>
            <w:tcBorders>
              <w:top w:val="single" w:sz="6" w:space="0" w:color="000000"/>
              <w:left w:val="single" w:sz="6" w:space="0" w:color="000000"/>
              <w:bottom w:val="single" w:sz="6" w:space="0" w:color="000000"/>
            </w:tcBorders>
            <w:shd w:val="clear" w:color="auto" w:fill="E6E6E6"/>
            <w:tcMar>
              <w:top w:w="0" w:type="dxa"/>
              <w:bottom w:w="0" w:type="dxa"/>
            </w:tcMa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Чистий дохід від реалізації продукції (товарів, робіт, послуг)</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2000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20567,8</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18168,3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Інші операційні доходи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2120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25,4</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1771,4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Інші доходи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2240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0</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221,3</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 xml:space="preserve">Разом доходи </w:t>
            </w:r>
            <w:r w:rsidRPr="0022070D">
              <w:rPr>
                <w:rFonts w:ascii="Times" w:eastAsia="Times" w:hAnsi="Times" w:cs="Times"/>
              </w:rPr>
              <w:t>(2000 + 2120 + 2240)</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2280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20593,2</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20161</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Собівартість реалізованої продукції (товарів, робіт, послуг)</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2050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(15511,4)</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(15176,1)</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Інші операційні витрати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2180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(4586,3)</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(3886,4)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Інші витрати</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2270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(88,8)</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(967,4)</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 xml:space="preserve">Разом витрати </w:t>
            </w:r>
            <w:r w:rsidRPr="0022070D">
              <w:rPr>
                <w:rFonts w:ascii="Times" w:eastAsia="Times" w:hAnsi="Times" w:cs="Times"/>
              </w:rPr>
              <w:t>(2050 + 2180 + 2270)</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2285</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(20186,5)</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(20029,9)</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Фінансовий результат до оподаткування (2280 - 2285)</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2290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406,7</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131,1</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rPr>
              <w:t>Податок на прибуток</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2300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(73,2)</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(23,6)</w:t>
            </w:r>
          </w:p>
        </w:tc>
      </w:tr>
      <w:tr w:rsidR="00BC418B" w:rsidRPr="0022070D">
        <w:trPr>
          <w:trHeight w:val="200"/>
        </w:trPr>
        <w:tc>
          <w:tcPr>
            <w:tcW w:w="5850" w:type="dxa"/>
            <w:tcBorders>
              <w:top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rPr>
                <w:rFonts w:ascii="Times" w:eastAsia="Times" w:hAnsi="Times" w:cs="Times"/>
              </w:rPr>
            </w:pPr>
            <w:r w:rsidRPr="0022070D">
              <w:rPr>
                <w:rFonts w:ascii="Times" w:eastAsia="Times" w:hAnsi="Times" w:cs="Times"/>
                <w:b/>
              </w:rPr>
              <w:t xml:space="preserve">Чистий прибуток (збиток) </w:t>
            </w:r>
            <w:r w:rsidRPr="0022070D">
              <w:rPr>
                <w:rFonts w:ascii="Times" w:eastAsia="Times" w:hAnsi="Times" w:cs="Times"/>
              </w:rPr>
              <w:t>(2290 - 2300)</w:t>
            </w:r>
          </w:p>
        </w:tc>
        <w:tc>
          <w:tcPr>
            <w:tcW w:w="77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2350</w:t>
            </w:r>
          </w:p>
        </w:tc>
        <w:tc>
          <w:tcPr>
            <w:tcW w:w="1706" w:type="dxa"/>
            <w:gridSpan w:val="2"/>
            <w:tcBorders>
              <w:top w:val="single" w:sz="6" w:space="0" w:color="000000"/>
              <w:left w:val="single" w:sz="6" w:space="0" w:color="000000"/>
              <w:bottom w:val="single" w:sz="6" w:space="0" w:color="000000"/>
              <w:right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333,5</w:t>
            </w:r>
          </w:p>
        </w:tc>
        <w:tc>
          <w:tcPr>
            <w:tcW w:w="1664" w:type="dxa"/>
            <w:gridSpan w:val="2"/>
            <w:tcBorders>
              <w:top w:val="single" w:sz="6" w:space="0" w:color="000000"/>
              <w:left w:val="single" w:sz="6" w:space="0" w:color="000000"/>
              <w:bottom w:val="single" w:sz="6" w:space="0" w:color="000000"/>
            </w:tcBorders>
            <w:tcMar>
              <w:top w:w="0" w:type="dxa"/>
              <w:bottom w:w="0" w:type="dxa"/>
            </w:tcMar>
            <w:vAlign w:val="center"/>
          </w:tcPr>
          <w:p w:rsidR="00BC418B" w:rsidRPr="0022070D" w:rsidRDefault="00686DA4">
            <w:pPr>
              <w:widowControl w:val="0"/>
              <w:spacing w:after="0" w:line="240" w:lineRule="auto"/>
              <w:jc w:val="center"/>
              <w:rPr>
                <w:rFonts w:ascii="Times" w:eastAsia="Times" w:hAnsi="Times" w:cs="Times"/>
              </w:rPr>
            </w:pPr>
            <w:r w:rsidRPr="0022070D">
              <w:rPr>
                <w:rFonts w:ascii="Times" w:eastAsia="Times" w:hAnsi="Times" w:cs="Times"/>
              </w:rPr>
              <w:t>107,5</w:t>
            </w:r>
          </w:p>
        </w:tc>
      </w:tr>
    </w:tbl>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Примітки: -</w:t>
      </w:r>
    </w:p>
    <w:p w:rsidR="00BC418B" w:rsidRPr="0022070D" w:rsidRDefault="00BC418B">
      <w:pPr>
        <w:widowControl w:val="0"/>
        <w:spacing w:after="0" w:line="240" w:lineRule="auto"/>
        <w:jc w:val="both"/>
        <w:rPr>
          <w:rFonts w:ascii="Times" w:eastAsia="Times" w:hAnsi="Times" w:cs="Times"/>
        </w:rPr>
      </w:pP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Керівник</w:t>
      </w:r>
      <w:r w:rsidRPr="0022070D">
        <w:rPr>
          <w:rFonts w:ascii="Times" w:eastAsia="Times" w:hAnsi="Times" w:cs="Times"/>
        </w:rPr>
        <w:tab/>
      </w:r>
      <w:r w:rsidRPr="0022070D">
        <w:rPr>
          <w:rFonts w:ascii="Times" w:eastAsia="Times" w:hAnsi="Times" w:cs="Times"/>
        </w:rPr>
        <w:tab/>
      </w:r>
      <w:r w:rsidRPr="0022070D">
        <w:rPr>
          <w:rFonts w:ascii="Times" w:eastAsia="Times" w:hAnsi="Times" w:cs="Times"/>
        </w:rPr>
        <w:tab/>
      </w:r>
      <w:r w:rsidRPr="0022070D">
        <w:rPr>
          <w:rFonts w:ascii="Times" w:eastAsia="Times" w:hAnsi="Times" w:cs="Times"/>
        </w:rPr>
        <w:tab/>
        <w:t>Гринчик Iнна Яношiвна</w:t>
      </w:r>
    </w:p>
    <w:p w:rsidR="00BC418B" w:rsidRPr="0022070D" w:rsidRDefault="00BC418B">
      <w:pPr>
        <w:widowControl w:val="0"/>
        <w:spacing w:after="0" w:line="240" w:lineRule="auto"/>
        <w:jc w:val="both"/>
        <w:rPr>
          <w:rFonts w:ascii="Times" w:eastAsia="Times" w:hAnsi="Times" w:cs="Times"/>
        </w:rPr>
      </w:pPr>
    </w:p>
    <w:p w:rsidR="00BC418B" w:rsidRPr="0022070D" w:rsidRDefault="00686DA4">
      <w:pPr>
        <w:widowControl w:val="0"/>
        <w:spacing w:after="0" w:line="240" w:lineRule="auto"/>
        <w:jc w:val="both"/>
        <w:rPr>
          <w:rFonts w:ascii="Times" w:eastAsia="Times" w:hAnsi="Times" w:cs="Times"/>
        </w:rPr>
      </w:pPr>
      <w:r w:rsidRPr="0022070D">
        <w:rPr>
          <w:rFonts w:ascii="Times" w:eastAsia="Times" w:hAnsi="Times" w:cs="Times"/>
        </w:rPr>
        <w:t>Головний бухгалтер</w:t>
      </w:r>
      <w:r w:rsidRPr="0022070D">
        <w:rPr>
          <w:rFonts w:ascii="Times" w:eastAsia="Times" w:hAnsi="Times" w:cs="Times"/>
        </w:rPr>
        <w:tab/>
      </w:r>
      <w:r w:rsidRPr="0022070D">
        <w:rPr>
          <w:rFonts w:ascii="Times" w:eastAsia="Times" w:hAnsi="Times" w:cs="Times"/>
        </w:rPr>
        <w:tab/>
      </w:r>
      <w:r w:rsidRPr="0022070D">
        <w:rPr>
          <w:rFonts w:ascii="Times" w:eastAsia="Times" w:hAnsi="Times" w:cs="Times"/>
        </w:rPr>
        <w:tab/>
        <w:t>Перепелиця Наталiя Вiкторiвна</w:t>
      </w:r>
    </w:p>
    <w:p w:rsidR="00BC418B" w:rsidRPr="0022070D" w:rsidRDefault="00BC418B">
      <w:pPr>
        <w:widowControl w:val="0"/>
        <w:spacing w:after="0" w:line="240" w:lineRule="auto"/>
        <w:jc w:val="both"/>
        <w:rPr>
          <w:rFonts w:ascii="Times" w:eastAsia="Times" w:hAnsi="Times" w:cs="Times"/>
        </w:rPr>
      </w:pPr>
    </w:p>
    <w:p w:rsidR="00BC418B" w:rsidRPr="0022070D" w:rsidRDefault="00BC418B">
      <w:pPr>
        <w:widowControl w:val="0"/>
        <w:spacing w:after="0" w:line="240" w:lineRule="auto"/>
        <w:jc w:val="both"/>
        <w:rPr>
          <w:rFonts w:ascii="Times" w:eastAsia="Times" w:hAnsi="Times" w:cs="Times"/>
        </w:rPr>
      </w:pPr>
    </w:p>
    <w:p w:rsidR="00BC418B" w:rsidRPr="0022070D" w:rsidRDefault="00BC418B">
      <w:pPr>
        <w:widowControl w:val="0"/>
        <w:spacing w:after="0" w:line="240" w:lineRule="auto"/>
        <w:jc w:val="both"/>
        <w:rPr>
          <w:rFonts w:ascii="Times" w:eastAsia="Times" w:hAnsi="Times" w:cs="Times"/>
        </w:rPr>
      </w:pPr>
    </w:p>
    <w:p w:rsidR="00BC418B" w:rsidRPr="0022070D" w:rsidRDefault="00686DA4">
      <w:pPr>
        <w:widowControl w:val="0"/>
        <w:spacing w:after="0" w:line="240" w:lineRule="auto"/>
        <w:jc w:val="center"/>
        <w:rPr>
          <w:rFonts w:ascii="Times" w:eastAsia="Times" w:hAnsi="Times" w:cs="Times"/>
          <w:b/>
          <w:sz w:val="28"/>
          <w:szCs w:val="28"/>
        </w:rPr>
      </w:pPr>
      <w:bookmarkStart w:id="1" w:name="_gjdgxs" w:colFirst="0" w:colLast="0"/>
      <w:bookmarkEnd w:id="1"/>
      <w:r w:rsidRPr="0022070D">
        <w:rPr>
          <w:rFonts w:ascii="Times" w:eastAsia="Times" w:hAnsi="Times" w:cs="Times"/>
          <w:b/>
          <w:sz w:val="28"/>
          <w:szCs w:val="28"/>
        </w:rPr>
        <w:t>XVI. Твердження щодо річної інформації</w:t>
      </w:r>
    </w:p>
    <w:p w:rsidR="00BC418B" w:rsidRDefault="00686DA4">
      <w:pPr>
        <w:widowControl w:val="0"/>
        <w:spacing w:after="0" w:line="240" w:lineRule="auto"/>
        <w:jc w:val="both"/>
        <w:rPr>
          <w:rFonts w:ascii="Times" w:eastAsia="Times" w:hAnsi="Times" w:cs="Times"/>
          <w:sz w:val="24"/>
          <w:szCs w:val="24"/>
        </w:rPr>
      </w:pPr>
      <w:r w:rsidRPr="0022070D">
        <w:rPr>
          <w:rFonts w:ascii="Times" w:eastAsia="Times" w:hAnsi="Times" w:cs="Times"/>
          <w:sz w:val="24"/>
          <w:szCs w:val="24"/>
        </w:rPr>
        <w:t>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звiт керiвництва включає достовiрне та об'єктивне подання iнформацiї про розвиток i здiйснення господарської дiяльностi разом з описом основних ризикiв та невизначеностей, з якими вони стикаються у своїй господарськiй дiяльностi. Посилаючись на основнi фактори дiяльностi Товариства, а саме: -Товариство не здiйснило публiчну пропозицiю акцiй, акцiї не допущенi до торгiв на фондовiй бiржi в частинi включення до бiржового реєстру; Рiчний звiт Емiтента цiнних паперiв за рiшенням Наглядової ради подається без пiдтвердження рiчного балансу i звiтностi Емiтента аудитором. Аудиторська перевiрка не замовлялась i не здiйснювалась.</w:t>
      </w:r>
    </w:p>
    <w:p w:rsidR="00BC418B" w:rsidRDefault="00BC418B">
      <w:pPr>
        <w:widowControl w:val="0"/>
        <w:spacing w:after="0" w:line="240" w:lineRule="auto"/>
        <w:rPr>
          <w:rFonts w:ascii="Times" w:eastAsia="Times" w:hAnsi="Times" w:cs="Times"/>
          <w:sz w:val="24"/>
          <w:szCs w:val="24"/>
        </w:rPr>
      </w:pPr>
    </w:p>
    <w:sectPr w:rsidR="00BC418B">
      <w:pgSz w:w="12240" w:h="15840"/>
      <w:pgMar w:top="850" w:right="850" w:bottom="850" w:left="14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defaultTabStop w:val="720"/>
  <w:characterSpacingControl w:val="doNotCompress"/>
  <w:compat>
    <w:compatSetting w:name="compatibilityMode" w:uri="http://schemas.microsoft.com/office/word" w:val="14"/>
  </w:compat>
  <w:rsids>
    <w:rsidRoot w:val="00BC418B"/>
    <w:rsid w:val="0022070D"/>
    <w:rsid w:val="00686DA4"/>
    <w:rsid w:val="00BC418B"/>
    <w:rsid w:val="00F44F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28" w:type="dxa"/>
        <w:bottom w:w="0" w:type="dxa"/>
        <w:right w:w="28"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tblPr>
      <w:tblStyleRowBandSize w:val="1"/>
      <w:tblStyleColBandSize w:val="1"/>
      <w:tblCellMar>
        <w:top w:w="0" w:type="dxa"/>
        <w:left w:w="115" w:type="dxa"/>
        <w:bottom w:w="0" w:type="dxa"/>
        <w:right w:w="115" w:type="dxa"/>
      </w:tblCellMar>
    </w:tblPr>
  </w:style>
  <w:style w:type="table" w:customStyle="1" w:styleId="af6">
    <w:basedOn w:val="TableNormal"/>
    <w:tblPr>
      <w:tblStyleRowBandSize w:val="1"/>
      <w:tblStyleColBandSize w:val="1"/>
      <w:tblCellMar>
        <w:top w:w="0" w:type="dxa"/>
        <w:left w:w="115" w:type="dxa"/>
        <w:bottom w:w="0" w:type="dxa"/>
        <w:right w:w="115" w:type="dxa"/>
      </w:tblCellMar>
    </w:tblPr>
  </w:style>
  <w:style w:type="table" w:customStyle="1" w:styleId="af7">
    <w:basedOn w:val="TableNormal"/>
    <w:tblPr>
      <w:tblStyleRowBandSize w:val="1"/>
      <w:tblStyleColBandSize w:val="1"/>
      <w:tblCellMar>
        <w:top w:w="0" w:type="dxa"/>
        <w:left w:w="115" w:type="dxa"/>
        <w:bottom w:w="0" w:type="dxa"/>
        <w:right w:w="115" w:type="dxa"/>
      </w:tblCellMar>
    </w:tblPr>
  </w:style>
  <w:style w:type="table" w:customStyle="1" w:styleId="af8">
    <w:basedOn w:val="TableNormal"/>
    <w:tblPr>
      <w:tblStyleRowBandSize w:val="1"/>
      <w:tblStyleColBandSize w:val="1"/>
      <w:tblCellMar>
        <w:top w:w="0" w:type="dxa"/>
        <w:left w:w="115" w:type="dxa"/>
        <w:bottom w:w="0" w:type="dxa"/>
        <w:right w:w="115" w:type="dxa"/>
      </w:tblCellMar>
    </w:tbl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 w:type="table" w:customStyle="1" w:styleId="afb">
    <w:basedOn w:val="TableNormal"/>
    <w:tblPr>
      <w:tblStyleRowBandSize w:val="1"/>
      <w:tblStyleColBandSize w:val="1"/>
      <w:tblCellMar>
        <w:top w:w="0" w:type="dxa"/>
        <w:left w:w="115" w:type="dxa"/>
        <w:bottom w:w="0" w:type="dxa"/>
        <w:right w:w="115" w:type="dxa"/>
      </w:tblCellMar>
    </w:tblPr>
  </w:style>
  <w:style w:type="table" w:customStyle="1" w:styleId="afc">
    <w:basedOn w:val="TableNormal"/>
    <w:tblPr>
      <w:tblStyleRowBandSize w:val="1"/>
      <w:tblStyleColBandSize w:val="1"/>
      <w:tblCellMar>
        <w:top w:w="0" w:type="dxa"/>
        <w:left w:w="115" w:type="dxa"/>
        <w:bottom w:w="0" w:type="dxa"/>
        <w:right w:w="115" w:type="dxa"/>
      </w:tblCellMar>
    </w:tblPr>
  </w:style>
  <w:style w:type="table" w:customStyle="1" w:styleId="afd">
    <w:basedOn w:val="TableNormal"/>
    <w:tblPr>
      <w:tblStyleRowBandSize w:val="1"/>
      <w:tblStyleColBandSize w:val="1"/>
      <w:tblCellMar>
        <w:top w:w="0" w:type="dxa"/>
        <w:left w:w="115" w:type="dxa"/>
        <w:bottom w:w="0" w:type="dxa"/>
        <w:right w:w="115" w:type="dxa"/>
      </w:tblCellMar>
    </w:tblPr>
  </w:style>
  <w:style w:type="table" w:customStyle="1" w:styleId="afe">
    <w:basedOn w:val="TableNormal"/>
    <w:tblPr>
      <w:tblStyleRowBandSize w:val="1"/>
      <w:tblStyleColBandSize w:val="1"/>
      <w:tblCellMar>
        <w:top w:w="0" w:type="dxa"/>
        <w:left w:w="115" w:type="dxa"/>
        <w:bottom w:w="0" w:type="dxa"/>
        <w:right w:w="115" w:type="dxa"/>
      </w:tblCellMar>
    </w:tblPr>
  </w:style>
  <w:style w:type="table" w:customStyle="1" w:styleId="aff">
    <w:basedOn w:val="TableNormal"/>
    <w:tblPr>
      <w:tblStyleRowBandSize w:val="1"/>
      <w:tblStyleColBandSize w:val="1"/>
      <w:tblCellMar>
        <w:top w:w="0" w:type="dxa"/>
        <w:left w:w="115" w:type="dxa"/>
        <w:bottom w:w="0" w:type="dxa"/>
        <w:right w:w="115" w:type="dxa"/>
      </w:tblCellMar>
    </w:tblPr>
  </w:style>
  <w:style w:type="table" w:customStyle="1" w:styleId="aff0">
    <w:basedOn w:val="TableNormal"/>
    <w:tblPr>
      <w:tblStyleRowBandSize w:val="1"/>
      <w:tblStyleColBandSize w:val="1"/>
      <w:tblCellMar>
        <w:top w:w="0" w:type="dxa"/>
        <w:left w:w="115" w:type="dxa"/>
        <w:bottom w:w="0" w:type="dxa"/>
        <w:right w:w="115" w:type="dxa"/>
      </w:tblCellMar>
    </w:tblPr>
  </w:style>
  <w:style w:type="table" w:customStyle="1" w:styleId="aff1">
    <w:basedOn w:val="TableNormal"/>
    <w:tblPr>
      <w:tblStyleRowBandSize w:val="1"/>
      <w:tblStyleColBandSize w:val="1"/>
      <w:tblCellMar>
        <w:top w:w="0" w:type="dxa"/>
        <w:left w:w="115" w:type="dxa"/>
        <w:bottom w:w="0" w:type="dxa"/>
        <w:right w:w="115" w:type="dxa"/>
      </w:tblCellMar>
    </w:tblPr>
  </w:style>
  <w:style w:type="table" w:customStyle="1" w:styleId="aff2">
    <w:basedOn w:val="TableNormal"/>
    <w:tblPr>
      <w:tblStyleRowBandSize w:val="1"/>
      <w:tblStyleColBandSize w:val="1"/>
      <w:tblCellMar>
        <w:top w:w="0" w:type="dxa"/>
        <w:left w:w="115" w:type="dxa"/>
        <w:bottom w:w="0" w:type="dxa"/>
        <w:right w:w="115" w:type="dxa"/>
      </w:tblCellMar>
    </w:tblPr>
  </w:style>
  <w:style w:type="table" w:customStyle="1" w:styleId="aff3">
    <w:basedOn w:val="TableNormal"/>
    <w:tblPr>
      <w:tblStyleRowBandSize w:val="1"/>
      <w:tblStyleColBandSize w:val="1"/>
      <w:tblCellMar>
        <w:top w:w="0" w:type="dxa"/>
        <w:left w:w="115" w:type="dxa"/>
        <w:bottom w:w="0" w:type="dxa"/>
        <w:right w:w="115" w:type="dxa"/>
      </w:tblCellMar>
    </w:tblPr>
  </w:style>
  <w:style w:type="table" w:customStyle="1" w:styleId="aff4">
    <w:basedOn w:val="TableNormal"/>
    <w:tblPr>
      <w:tblStyleRowBandSize w:val="1"/>
      <w:tblStyleColBandSize w:val="1"/>
      <w:tblCellMar>
        <w:top w:w="0" w:type="dxa"/>
        <w:left w:w="115" w:type="dxa"/>
        <w:bottom w:w="0" w:type="dxa"/>
        <w:right w:w="115" w:type="dxa"/>
      </w:tblCellMar>
    </w:tblPr>
  </w:style>
  <w:style w:type="table" w:customStyle="1" w:styleId="aff5">
    <w:basedOn w:val="TableNormal"/>
    <w:tblPr>
      <w:tblStyleRowBandSize w:val="1"/>
      <w:tblStyleColBandSize w:val="1"/>
      <w:tblCellMar>
        <w:top w:w="0" w:type="dxa"/>
        <w:left w:w="115" w:type="dxa"/>
        <w:bottom w:w="0" w:type="dxa"/>
        <w:right w:w="115" w:type="dxa"/>
      </w:tblCellMar>
    </w:tblPr>
  </w:style>
  <w:style w:type="table" w:customStyle="1" w:styleId="aff6">
    <w:basedOn w:val="TableNormal"/>
    <w:tblPr>
      <w:tblStyleRowBandSize w:val="1"/>
      <w:tblStyleColBandSize w:val="1"/>
      <w:tblCellMar>
        <w:top w:w="0" w:type="dxa"/>
        <w:left w:w="115" w:type="dxa"/>
        <w:bottom w:w="0" w:type="dxa"/>
        <w:right w:w="115" w:type="dxa"/>
      </w:tblCellMar>
    </w:tblPr>
  </w:style>
  <w:style w:type="table" w:customStyle="1" w:styleId="aff7">
    <w:basedOn w:val="TableNormal"/>
    <w:tblPr>
      <w:tblStyleRowBandSize w:val="1"/>
      <w:tblStyleColBandSize w:val="1"/>
      <w:tblCellMar>
        <w:top w:w="0" w:type="dxa"/>
        <w:left w:w="115" w:type="dxa"/>
        <w:bottom w:w="0" w:type="dxa"/>
        <w:right w:w="115" w:type="dxa"/>
      </w:tblCellMar>
    </w:tblPr>
  </w:style>
  <w:style w:type="table" w:customStyle="1" w:styleId="aff8">
    <w:basedOn w:val="TableNormal"/>
    <w:tblPr>
      <w:tblStyleRowBandSize w:val="1"/>
      <w:tblStyleColBandSize w:val="1"/>
      <w:tblCellMar>
        <w:top w:w="0" w:type="dxa"/>
        <w:left w:w="115" w:type="dxa"/>
        <w:bottom w:w="0" w:type="dxa"/>
        <w:right w:w="115" w:type="dxa"/>
      </w:tblCellMar>
    </w:tblPr>
  </w:style>
  <w:style w:type="table" w:customStyle="1" w:styleId="aff9">
    <w:basedOn w:val="TableNormal"/>
    <w:tblPr>
      <w:tblStyleRowBandSize w:val="1"/>
      <w:tblStyleColBandSize w:val="1"/>
      <w:tblCellMar>
        <w:top w:w="0" w:type="dxa"/>
        <w:left w:w="115" w:type="dxa"/>
        <w:bottom w:w="0" w:type="dxa"/>
        <w:right w:w="115" w:type="dxa"/>
      </w:tblCellMar>
    </w:tblPr>
  </w:style>
  <w:style w:type="table" w:customStyle="1" w:styleId="affa">
    <w:basedOn w:val="TableNormal"/>
    <w:tblPr>
      <w:tblStyleRowBandSize w:val="1"/>
      <w:tblStyleColBandSize w:val="1"/>
      <w:tblCellMar>
        <w:top w:w="0" w:type="dxa"/>
        <w:left w:w="115" w:type="dxa"/>
        <w:bottom w:w="0" w:type="dxa"/>
        <w:right w:w="115" w:type="dxa"/>
      </w:tblCellMar>
    </w:tblPr>
  </w:style>
  <w:style w:type="table" w:customStyle="1" w:styleId="affb">
    <w:basedOn w:val="TableNormal"/>
    <w:tblPr>
      <w:tblStyleRowBandSize w:val="1"/>
      <w:tblStyleColBandSize w:val="1"/>
      <w:tblCellMar>
        <w:top w:w="0" w:type="dxa"/>
        <w:left w:w="115" w:type="dxa"/>
        <w:bottom w:w="0" w:type="dxa"/>
        <w:right w:w="115" w:type="dxa"/>
      </w:tblCellMar>
    </w:tblPr>
  </w:style>
  <w:style w:type="table" w:customStyle="1" w:styleId="affc">
    <w:basedOn w:val="TableNormal"/>
    <w:tblPr>
      <w:tblStyleRowBandSize w:val="1"/>
      <w:tblStyleColBandSize w:val="1"/>
      <w:tblCellMar>
        <w:top w:w="0" w:type="dxa"/>
        <w:left w:w="115" w:type="dxa"/>
        <w:bottom w:w="0" w:type="dxa"/>
        <w:right w:w="115" w:type="dxa"/>
      </w:tblCellMar>
    </w:tblPr>
  </w:style>
  <w:style w:type="table" w:customStyle="1" w:styleId="affd">
    <w:basedOn w:val="TableNormal"/>
    <w:tblPr>
      <w:tblStyleRowBandSize w:val="1"/>
      <w:tblStyleColBandSize w:val="1"/>
      <w:tblCellMar>
        <w:top w:w="0" w:type="dxa"/>
        <w:left w:w="115" w:type="dxa"/>
        <w:bottom w:w="0" w:type="dxa"/>
        <w:right w:w="115" w:type="dxa"/>
      </w:tblCellMar>
    </w:tblPr>
  </w:style>
  <w:style w:type="table" w:customStyle="1" w:styleId="affe">
    <w:basedOn w:val="TableNormal"/>
    <w:tblPr>
      <w:tblStyleRowBandSize w:val="1"/>
      <w:tblStyleColBandSize w:val="1"/>
      <w:tblCellMar>
        <w:top w:w="0" w:type="dxa"/>
        <w:left w:w="115" w:type="dxa"/>
        <w:bottom w:w="0" w:type="dxa"/>
        <w:right w:w="115" w:type="dxa"/>
      </w:tblCellMar>
    </w:tblPr>
  </w:style>
  <w:style w:type="table" w:customStyle="1" w:styleId="afff">
    <w:basedOn w:val="TableNormal"/>
    <w:tblPr>
      <w:tblStyleRowBandSize w:val="1"/>
      <w:tblStyleColBandSize w:val="1"/>
      <w:tblCellMar>
        <w:top w:w="0" w:type="dxa"/>
        <w:left w:w="115" w:type="dxa"/>
        <w:bottom w:w="0" w:type="dxa"/>
        <w:right w:w="115" w:type="dxa"/>
      </w:tblCellMar>
    </w:tblPr>
  </w:style>
  <w:style w:type="table" w:customStyle="1" w:styleId="afff0">
    <w:basedOn w:val="TableNormal"/>
    <w:tblPr>
      <w:tblStyleRowBandSize w:val="1"/>
      <w:tblStyleColBandSize w:val="1"/>
      <w:tblCellMar>
        <w:top w:w="0" w:type="dxa"/>
        <w:left w:w="115" w:type="dxa"/>
        <w:bottom w:w="0" w:type="dxa"/>
        <w:right w:w="115" w:type="dxa"/>
      </w:tblCellMar>
    </w:tblPr>
  </w:style>
  <w:style w:type="table" w:customStyle="1" w:styleId="afff1">
    <w:basedOn w:val="TableNormal"/>
    <w:tblPr>
      <w:tblStyleRowBandSize w:val="1"/>
      <w:tblStyleColBandSize w:val="1"/>
      <w:tblCellMar>
        <w:top w:w="0" w:type="dxa"/>
        <w:left w:w="115" w:type="dxa"/>
        <w:bottom w:w="0" w:type="dxa"/>
        <w:right w:w="115" w:type="dxa"/>
      </w:tblCellMar>
    </w:tblPr>
  </w:style>
  <w:style w:type="table" w:customStyle="1" w:styleId="afff2">
    <w:basedOn w:val="TableNormal"/>
    <w:tblPr>
      <w:tblStyleRowBandSize w:val="1"/>
      <w:tblStyleColBandSize w:val="1"/>
      <w:tblCellMar>
        <w:top w:w="0" w:type="dxa"/>
        <w:left w:w="115" w:type="dxa"/>
        <w:bottom w:w="0" w:type="dxa"/>
        <w:right w:w="115" w:type="dxa"/>
      </w:tblCellMar>
    </w:tblPr>
  </w:style>
  <w:style w:type="table" w:customStyle="1" w:styleId="afff3">
    <w:basedOn w:val="TableNormal"/>
    <w:tblPr>
      <w:tblStyleRowBandSize w:val="1"/>
      <w:tblStyleColBandSize w:val="1"/>
      <w:tblCellMar>
        <w:top w:w="0" w:type="dxa"/>
        <w:left w:w="115" w:type="dxa"/>
        <w:bottom w:w="0" w:type="dxa"/>
        <w:right w:w="115" w:type="dxa"/>
      </w:tblCellMar>
    </w:tblPr>
  </w:style>
  <w:style w:type="table" w:customStyle="1" w:styleId="afff4">
    <w:basedOn w:val="TableNormal"/>
    <w:tblPr>
      <w:tblStyleRowBandSize w:val="1"/>
      <w:tblStyleColBandSize w:val="1"/>
      <w:tblCellMar>
        <w:top w:w="0" w:type="dxa"/>
        <w:left w:w="115" w:type="dxa"/>
        <w:bottom w:w="0" w:type="dxa"/>
        <w:right w:w="115" w:type="dxa"/>
      </w:tblCellMar>
    </w:tblPr>
  </w:style>
  <w:style w:type="table" w:customStyle="1" w:styleId="afff5">
    <w:basedOn w:val="TableNormal"/>
    <w:tblPr>
      <w:tblStyleRowBandSize w:val="1"/>
      <w:tblStyleColBandSize w:val="1"/>
      <w:tblCellMar>
        <w:top w:w="0" w:type="dxa"/>
        <w:left w:w="115" w:type="dxa"/>
        <w:bottom w:w="0" w:type="dxa"/>
        <w:right w:w="115" w:type="dxa"/>
      </w:tblCellMar>
    </w:tblPr>
  </w:style>
  <w:style w:type="table" w:customStyle="1" w:styleId="afff6">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115" w:type="dxa"/>
        <w:bottom w:w="0" w:type="dxa"/>
        <w:right w:w="115" w:type="dxa"/>
      </w:tblCellMar>
    </w:tblPr>
  </w:style>
  <w:style w:type="table" w:customStyle="1" w:styleId="a6">
    <w:basedOn w:val="TableNormal"/>
    <w:tblPr>
      <w:tblStyleRowBandSize w:val="1"/>
      <w:tblStyleColBandSize w:val="1"/>
      <w:tblCellMar>
        <w:top w:w="0" w:type="dxa"/>
        <w:left w:w="115" w:type="dxa"/>
        <w:bottom w:w="0" w:type="dxa"/>
        <w:right w:w="115"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 w:type="table" w:customStyle="1" w:styleId="aa">
    <w:basedOn w:val="TableNormal"/>
    <w:tblPr>
      <w:tblStyleRowBandSize w:val="1"/>
      <w:tblStyleColBandSize w:val="1"/>
      <w:tblCellMar>
        <w:top w:w="0" w:type="dxa"/>
        <w:left w:w="115" w:type="dxa"/>
        <w:bottom w:w="0" w:type="dxa"/>
        <w:right w:w="115"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28" w:type="dxa"/>
        <w:bottom w:w="0" w:type="dxa"/>
        <w:right w:w="28"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tblPr>
      <w:tblStyleRowBandSize w:val="1"/>
      <w:tblStyleColBandSize w:val="1"/>
      <w:tblCellMar>
        <w:top w:w="0" w:type="dxa"/>
        <w:left w:w="115" w:type="dxa"/>
        <w:bottom w:w="0" w:type="dxa"/>
        <w:right w:w="115"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tblPr>
      <w:tblStyleRowBandSize w:val="1"/>
      <w:tblStyleColBandSize w:val="1"/>
      <w:tblCellMar>
        <w:top w:w="0" w:type="dxa"/>
        <w:left w:w="115" w:type="dxa"/>
        <w:bottom w:w="0" w:type="dxa"/>
        <w:right w:w="115" w:type="dxa"/>
      </w:tblCellMar>
    </w:tblPr>
  </w:style>
  <w:style w:type="table" w:customStyle="1" w:styleId="af3">
    <w:basedOn w:val="TableNormal"/>
    <w:tblPr>
      <w:tblStyleRowBandSize w:val="1"/>
      <w:tblStyleColBandSize w:val="1"/>
      <w:tblCellMar>
        <w:top w:w="0" w:type="dxa"/>
        <w:left w:w="115" w:type="dxa"/>
        <w:bottom w:w="0" w:type="dxa"/>
        <w:right w:w="115" w:type="dxa"/>
      </w:tblCellMar>
    </w:tblPr>
  </w:style>
  <w:style w:type="table" w:customStyle="1" w:styleId="af4">
    <w:basedOn w:val="TableNormal"/>
    <w:tblPr>
      <w:tblStyleRowBandSize w:val="1"/>
      <w:tblStyleColBandSize w:val="1"/>
      <w:tblCellMar>
        <w:top w:w="0" w:type="dxa"/>
        <w:left w:w="115" w:type="dxa"/>
        <w:bottom w:w="0" w:type="dxa"/>
        <w:right w:w="115" w:type="dxa"/>
      </w:tblCellMar>
    </w:tblPr>
  </w:style>
  <w:style w:type="table" w:customStyle="1" w:styleId="af5">
    <w:basedOn w:val="TableNormal"/>
    <w:tblPr>
      <w:tblStyleRowBandSize w:val="1"/>
      <w:tblStyleColBandSize w:val="1"/>
      <w:tblCellMar>
        <w:top w:w="0" w:type="dxa"/>
        <w:left w:w="115" w:type="dxa"/>
        <w:bottom w:w="0" w:type="dxa"/>
        <w:right w:w="115" w:type="dxa"/>
      </w:tblCellMar>
    </w:tblPr>
  </w:style>
  <w:style w:type="table" w:customStyle="1" w:styleId="af6">
    <w:basedOn w:val="TableNormal"/>
    <w:tblPr>
      <w:tblStyleRowBandSize w:val="1"/>
      <w:tblStyleColBandSize w:val="1"/>
      <w:tblCellMar>
        <w:top w:w="0" w:type="dxa"/>
        <w:left w:w="115" w:type="dxa"/>
        <w:bottom w:w="0" w:type="dxa"/>
        <w:right w:w="115" w:type="dxa"/>
      </w:tblCellMar>
    </w:tblPr>
  </w:style>
  <w:style w:type="table" w:customStyle="1" w:styleId="af7">
    <w:basedOn w:val="TableNormal"/>
    <w:tblPr>
      <w:tblStyleRowBandSize w:val="1"/>
      <w:tblStyleColBandSize w:val="1"/>
      <w:tblCellMar>
        <w:top w:w="0" w:type="dxa"/>
        <w:left w:w="115" w:type="dxa"/>
        <w:bottom w:w="0" w:type="dxa"/>
        <w:right w:w="115" w:type="dxa"/>
      </w:tblCellMar>
    </w:tblPr>
  </w:style>
  <w:style w:type="table" w:customStyle="1" w:styleId="af8">
    <w:basedOn w:val="TableNormal"/>
    <w:tblPr>
      <w:tblStyleRowBandSize w:val="1"/>
      <w:tblStyleColBandSize w:val="1"/>
      <w:tblCellMar>
        <w:top w:w="0" w:type="dxa"/>
        <w:left w:w="115" w:type="dxa"/>
        <w:bottom w:w="0" w:type="dxa"/>
        <w:right w:w="115" w:type="dxa"/>
      </w:tblCellMar>
    </w:tbl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 w:type="table" w:customStyle="1" w:styleId="afb">
    <w:basedOn w:val="TableNormal"/>
    <w:tblPr>
      <w:tblStyleRowBandSize w:val="1"/>
      <w:tblStyleColBandSize w:val="1"/>
      <w:tblCellMar>
        <w:top w:w="0" w:type="dxa"/>
        <w:left w:w="115" w:type="dxa"/>
        <w:bottom w:w="0" w:type="dxa"/>
        <w:right w:w="115" w:type="dxa"/>
      </w:tblCellMar>
    </w:tblPr>
  </w:style>
  <w:style w:type="table" w:customStyle="1" w:styleId="afc">
    <w:basedOn w:val="TableNormal"/>
    <w:tblPr>
      <w:tblStyleRowBandSize w:val="1"/>
      <w:tblStyleColBandSize w:val="1"/>
      <w:tblCellMar>
        <w:top w:w="0" w:type="dxa"/>
        <w:left w:w="115" w:type="dxa"/>
        <w:bottom w:w="0" w:type="dxa"/>
        <w:right w:w="115" w:type="dxa"/>
      </w:tblCellMar>
    </w:tblPr>
  </w:style>
  <w:style w:type="table" w:customStyle="1" w:styleId="afd">
    <w:basedOn w:val="TableNormal"/>
    <w:tblPr>
      <w:tblStyleRowBandSize w:val="1"/>
      <w:tblStyleColBandSize w:val="1"/>
      <w:tblCellMar>
        <w:top w:w="0" w:type="dxa"/>
        <w:left w:w="115" w:type="dxa"/>
        <w:bottom w:w="0" w:type="dxa"/>
        <w:right w:w="115" w:type="dxa"/>
      </w:tblCellMar>
    </w:tblPr>
  </w:style>
  <w:style w:type="table" w:customStyle="1" w:styleId="afe">
    <w:basedOn w:val="TableNormal"/>
    <w:tblPr>
      <w:tblStyleRowBandSize w:val="1"/>
      <w:tblStyleColBandSize w:val="1"/>
      <w:tblCellMar>
        <w:top w:w="0" w:type="dxa"/>
        <w:left w:w="115" w:type="dxa"/>
        <w:bottom w:w="0" w:type="dxa"/>
        <w:right w:w="115" w:type="dxa"/>
      </w:tblCellMar>
    </w:tblPr>
  </w:style>
  <w:style w:type="table" w:customStyle="1" w:styleId="aff">
    <w:basedOn w:val="TableNormal"/>
    <w:tblPr>
      <w:tblStyleRowBandSize w:val="1"/>
      <w:tblStyleColBandSize w:val="1"/>
      <w:tblCellMar>
        <w:top w:w="0" w:type="dxa"/>
        <w:left w:w="115" w:type="dxa"/>
        <w:bottom w:w="0" w:type="dxa"/>
        <w:right w:w="115" w:type="dxa"/>
      </w:tblCellMar>
    </w:tblPr>
  </w:style>
  <w:style w:type="table" w:customStyle="1" w:styleId="aff0">
    <w:basedOn w:val="TableNormal"/>
    <w:tblPr>
      <w:tblStyleRowBandSize w:val="1"/>
      <w:tblStyleColBandSize w:val="1"/>
      <w:tblCellMar>
        <w:top w:w="0" w:type="dxa"/>
        <w:left w:w="115" w:type="dxa"/>
        <w:bottom w:w="0" w:type="dxa"/>
        <w:right w:w="115" w:type="dxa"/>
      </w:tblCellMar>
    </w:tblPr>
  </w:style>
  <w:style w:type="table" w:customStyle="1" w:styleId="aff1">
    <w:basedOn w:val="TableNormal"/>
    <w:tblPr>
      <w:tblStyleRowBandSize w:val="1"/>
      <w:tblStyleColBandSize w:val="1"/>
      <w:tblCellMar>
        <w:top w:w="0" w:type="dxa"/>
        <w:left w:w="115" w:type="dxa"/>
        <w:bottom w:w="0" w:type="dxa"/>
        <w:right w:w="115" w:type="dxa"/>
      </w:tblCellMar>
    </w:tblPr>
  </w:style>
  <w:style w:type="table" w:customStyle="1" w:styleId="aff2">
    <w:basedOn w:val="TableNormal"/>
    <w:tblPr>
      <w:tblStyleRowBandSize w:val="1"/>
      <w:tblStyleColBandSize w:val="1"/>
      <w:tblCellMar>
        <w:top w:w="0" w:type="dxa"/>
        <w:left w:w="115" w:type="dxa"/>
        <w:bottom w:w="0" w:type="dxa"/>
        <w:right w:w="115" w:type="dxa"/>
      </w:tblCellMar>
    </w:tblPr>
  </w:style>
  <w:style w:type="table" w:customStyle="1" w:styleId="aff3">
    <w:basedOn w:val="TableNormal"/>
    <w:tblPr>
      <w:tblStyleRowBandSize w:val="1"/>
      <w:tblStyleColBandSize w:val="1"/>
      <w:tblCellMar>
        <w:top w:w="0" w:type="dxa"/>
        <w:left w:w="115" w:type="dxa"/>
        <w:bottom w:w="0" w:type="dxa"/>
        <w:right w:w="115" w:type="dxa"/>
      </w:tblCellMar>
    </w:tblPr>
  </w:style>
  <w:style w:type="table" w:customStyle="1" w:styleId="aff4">
    <w:basedOn w:val="TableNormal"/>
    <w:tblPr>
      <w:tblStyleRowBandSize w:val="1"/>
      <w:tblStyleColBandSize w:val="1"/>
      <w:tblCellMar>
        <w:top w:w="0" w:type="dxa"/>
        <w:left w:w="115" w:type="dxa"/>
        <w:bottom w:w="0" w:type="dxa"/>
        <w:right w:w="115" w:type="dxa"/>
      </w:tblCellMar>
    </w:tblPr>
  </w:style>
  <w:style w:type="table" w:customStyle="1" w:styleId="aff5">
    <w:basedOn w:val="TableNormal"/>
    <w:tblPr>
      <w:tblStyleRowBandSize w:val="1"/>
      <w:tblStyleColBandSize w:val="1"/>
      <w:tblCellMar>
        <w:top w:w="0" w:type="dxa"/>
        <w:left w:w="115" w:type="dxa"/>
        <w:bottom w:w="0" w:type="dxa"/>
        <w:right w:w="115" w:type="dxa"/>
      </w:tblCellMar>
    </w:tblPr>
  </w:style>
  <w:style w:type="table" w:customStyle="1" w:styleId="aff6">
    <w:basedOn w:val="TableNormal"/>
    <w:tblPr>
      <w:tblStyleRowBandSize w:val="1"/>
      <w:tblStyleColBandSize w:val="1"/>
      <w:tblCellMar>
        <w:top w:w="0" w:type="dxa"/>
        <w:left w:w="115" w:type="dxa"/>
        <w:bottom w:w="0" w:type="dxa"/>
        <w:right w:w="115" w:type="dxa"/>
      </w:tblCellMar>
    </w:tblPr>
  </w:style>
  <w:style w:type="table" w:customStyle="1" w:styleId="aff7">
    <w:basedOn w:val="TableNormal"/>
    <w:tblPr>
      <w:tblStyleRowBandSize w:val="1"/>
      <w:tblStyleColBandSize w:val="1"/>
      <w:tblCellMar>
        <w:top w:w="0" w:type="dxa"/>
        <w:left w:w="115" w:type="dxa"/>
        <w:bottom w:w="0" w:type="dxa"/>
        <w:right w:w="115" w:type="dxa"/>
      </w:tblCellMar>
    </w:tblPr>
  </w:style>
  <w:style w:type="table" w:customStyle="1" w:styleId="aff8">
    <w:basedOn w:val="TableNormal"/>
    <w:tblPr>
      <w:tblStyleRowBandSize w:val="1"/>
      <w:tblStyleColBandSize w:val="1"/>
      <w:tblCellMar>
        <w:top w:w="0" w:type="dxa"/>
        <w:left w:w="115" w:type="dxa"/>
        <w:bottom w:w="0" w:type="dxa"/>
        <w:right w:w="115" w:type="dxa"/>
      </w:tblCellMar>
    </w:tblPr>
  </w:style>
  <w:style w:type="table" w:customStyle="1" w:styleId="aff9">
    <w:basedOn w:val="TableNormal"/>
    <w:tblPr>
      <w:tblStyleRowBandSize w:val="1"/>
      <w:tblStyleColBandSize w:val="1"/>
      <w:tblCellMar>
        <w:top w:w="0" w:type="dxa"/>
        <w:left w:w="115" w:type="dxa"/>
        <w:bottom w:w="0" w:type="dxa"/>
        <w:right w:w="115" w:type="dxa"/>
      </w:tblCellMar>
    </w:tblPr>
  </w:style>
  <w:style w:type="table" w:customStyle="1" w:styleId="affa">
    <w:basedOn w:val="TableNormal"/>
    <w:tblPr>
      <w:tblStyleRowBandSize w:val="1"/>
      <w:tblStyleColBandSize w:val="1"/>
      <w:tblCellMar>
        <w:top w:w="0" w:type="dxa"/>
        <w:left w:w="115" w:type="dxa"/>
        <w:bottom w:w="0" w:type="dxa"/>
        <w:right w:w="115" w:type="dxa"/>
      </w:tblCellMar>
    </w:tblPr>
  </w:style>
  <w:style w:type="table" w:customStyle="1" w:styleId="affb">
    <w:basedOn w:val="TableNormal"/>
    <w:tblPr>
      <w:tblStyleRowBandSize w:val="1"/>
      <w:tblStyleColBandSize w:val="1"/>
      <w:tblCellMar>
        <w:top w:w="0" w:type="dxa"/>
        <w:left w:w="115" w:type="dxa"/>
        <w:bottom w:w="0" w:type="dxa"/>
        <w:right w:w="115" w:type="dxa"/>
      </w:tblCellMar>
    </w:tblPr>
  </w:style>
  <w:style w:type="table" w:customStyle="1" w:styleId="affc">
    <w:basedOn w:val="TableNormal"/>
    <w:tblPr>
      <w:tblStyleRowBandSize w:val="1"/>
      <w:tblStyleColBandSize w:val="1"/>
      <w:tblCellMar>
        <w:top w:w="0" w:type="dxa"/>
        <w:left w:w="115" w:type="dxa"/>
        <w:bottom w:w="0" w:type="dxa"/>
        <w:right w:w="115" w:type="dxa"/>
      </w:tblCellMar>
    </w:tblPr>
  </w:style>
  <w:style w:type="table" w:customStyle="1" w:styleId="affd">
    <w:basedOn w:val="TableNormal"/>
    <w:tblPr>
      <w:tblStyleRowBandSize w:val="1"/>
      <w:tblStyleColBandSize w:val="1"/>
      <w:tblCellMar>
        <w:top w:w="0" w:type="dxa"/>
        <w:left w:w="115" w:type="dxa"/>
        <w:bottom w:w="0" w:type="dxa"/>
        <w:right w:w="115" w:type="dxa"/>
      </w:tblCellMar>
    </w:tblPr>
  </w:style>
  <w:style w:type="table" w:customStyle="1" w:styleId="affe">
    <w:basedOn w:val="TableNormal"/>
    <w:tblPr>
      <w:tblStyleRowBandSize w:val="1"/>
      <w:tblStyleColBandSize w:val="1"/>
      <w:tblCellMar>
        <w:top w:w="0" w:type="dxa"/>
        <w:left w:w="115" w:type="dxa"/>
        <w:bottom w:w="0" w:type="dxa"/>
        <w:right w:w="115" w:type="dxa"/>
      </w:tblCellMar>
    </w:tblPr>
  </w:style>
  <w:style w:type="table" w:customStyle="1" w:styleId="afff">
    <w:basedOn w:val="TableNormal"/>
    <w:tblPr>
      <w:tblStyleRowBandSize w:val="1"/>
      <w:tblStyleColBandSize w:val="1"/>
      <w:tblCellMar>
        <w:top w:w="0" w:type="dxa"/>
        <w:left w:w="115" w:type="dxa"/>
        <w:bottom w:w="0" w:type="dxa"/>
        <w:right w:w="115" w:type="dxa"/>
      </w:tblCellMar>
    </w:tblPr>
  </w:style>
  <w:style w:type="table" w:customStyle="1" w:styleId="afff0">
    <w:basedOn w:val="TableNormal"/>
    <w:tblPr>
      <w:tblStyleRowBandSize w:val="1"/>
      <w:tblStyleColBandSize w:val="1"/>
      <w:tblCellMar>
        <w:top w:w="0" w:type="dxa"/>
        <w:left w:w="115" w:type="dxa"/>
        <w:bottom w:w="0" w:type="dxa"/>
        <w:right w:w="115" w:type="dxa"/>
      </w:tblCellMar>
    </w:tblPr>
  </w:style>
  <w:style w:type="table" w:customStyle="1" w:styleId="afff1">
    <w:basedOn w:val="TableNormal"/>
    <w:tblPr>
      <w:tblStyleRowBandSize w:val="1"/>
      <w:tblStyleColBandSize w:val="1"/>
      <w:tblCellMar>
        <w:top w:w="0" w:type="dxa"/>
        <w:left w:w="115" w:type="dxa"/>
        <w:bottom w:w="0" w:type="dxa"/>
        <w:right w:w="115" w:type="dxa"/>
      </w:tblCellMar>
    </w:tblPr>
  </w:style>
  <w:style w:type="table" w:customStyle="1" w:styleId="afff2">
    <w:basedOn w:val="TableNormal"/>
    <w:tblPr>
      <w:tblStyleRowBandSize w:val="1"/>
      <w:tblStyleColBandSize w:val="1"/>
      <w:tblCellMar>
        <w:top w:w="0" w:type="dxa"/>
        <w:left w:w="115" w:type="dxa"/>
        <w:bottom w:w="0" w:type="dxa"/>
        <w:right w:w="115" w:type="dxa"/>
      </w:tblCellMar>
    </w:tblPr>
  </w:style>
  <w:style w:type="table" w:customStyle="1" w:styleId="afff3">
    <w:basedOn w:val="TableNormal"/>
    <w:tblPr>
      <w:tblStyleRowBandSize w:val="1"/>
      <w:tblStyleColBandSize w:val="1"/>
      <w:tblCellMar>
        <w:top w:w="0" w:type="dxa"/>
        <w:left w:w="115" w:type="dxa"/>
        <w:bottom w:w="0" w:type="dxa"/>
        <w:right w:w="115" w:type="dxa"/>
      </w:tblCellMar>
    </w:tblPr>
  </w:style>
  <w:style w:type="table" w:customStyle="1" w:styleId="afff4">
    <w:basedOn w:val="TableNormal"/>
    <w:tblPr>
      <w:tblStyleRowBandSize w:val="1"/>
      <w:tblStyleColBandSize w:val="1"/>
      <w:tblCellMar>
        <w:top w:w="0" w:type="dxa"/>
        <w:left w:w="115" w:type="dxa"/>
        <w:bottom w:w="0" w:type="dxa"/>
        <w:right w:w="115" w:type="dxa"/>
      </w:tblCellMar>
    </w:tblPr>
  </w:style>
  <w:style w:type="table" w:customStyle="1" w:styleId="afff5">
    <w:basedOn w:val="TableNormal"/>
    <w:tblPr>
      <w:tblStyleRowBandSize w:val="1"/>
      <w:tblStyleColBandSize w:val="1"/>
      <w:tblCellMar>
        <w:top w:w="0" w:type="dxa"/>
        <w:left w:w="115" w:type="dxa"/>
        <w:bottom w:w="0" w:type="dxa"/>
        <w:right w:w="115" w:type="dxa"/>
      </w:tblCellMar>
    </w:tblPr>
  </w:style>
  <w:style w:type="table" w:customStyle="1" w:styleId="afff6">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46</Pages>
  <Words>16821</Words>
  <Characters>95886</Characters>
  <Application>Microsoft Office Word</Application>
  <DocSecurity>0</DocSecurity>
  <Lines>799</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Журавлева Галина</dc:creator>
  <cp:lastModifiedBy>Журавлева Галина</cp:lastModifiedBy>
  <cp:revision>3</cp:revision>
  <dcterms:created xsi:type="dcterms:W3CDTF">2021-04-30T16:47:00Z</dcterms:created>
  <dcterms:modified xsi:type="dcterms:W3CDTF">2021-04-30T20:24:00Z</dcterms:modified>
</cp:coreProperties>
</file>